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57" w:rsidRDefault="00502837" w:rsidP="00502837">
      <w:pPr>
        <w:jc w:val="center"/>
        <w:rPr>
          <w:rFonts w:ascii="Times New Roman" w:hAnsi="Times New Roman" w:cs="Times New Roman"/>
          <w:b/>
          <w:sz w:val="28"/>
          <w:szCs w:val="28"/>
        </w:rPr>
      </w:pPr>
      <w:r w:rsidRPr="00502837">
        <w:rPr>
          <w:rFonts w:ascii="Times New Roman" w:hAnsi="Times New Roman" w:cs="Times New Roman"/>
          <w:b/>
          <w:sz w:val="28"/>
          <w:szCs w:val="28"/>
        </w:rPr>
        <w:t>Результаты работы Аппарата Уполномоченного по защите прав предпринимателей в Республике Алтай направленной на снижение административных барьеров, административного давления на бизнес Республики Алтай.</w:t>
      </w:r>
    </w:p>
    <w:p w:rsidR="00502837" w:rsidRDefault="00502837" w:rsidP="00502837">
      <w:pPr>
        <w:jc w:val="center"/>
        <w:rPr>
          <w:rFonts w:ascii="Times New Roman" w:hAnsi="Times New Roman" w:cs="Times New Roman"/>
          <w:b/>
          <w:sz w:val="28"/>
          <w:szCs w:val="28"/>
        </w:rPr>
      </w:pPr>
    </w:p>
    <w:p w:rsidR="002D074C" w:rsidRDefault="00502837"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Аппарат Уполномоченного по защите прав предпринимателей в Республике Алтай </w:t>
      </w:r>
      <w:r w:rsidR="002D074C">
        <w:rPr>
          <w:rFonts w:ascii="Times New Roman" w:hAnsi="Times New Roman" w:cs="Times New Roman"/>
          <w:sz w:val="28"/>
          <w:szCs w:val="28"/>
        </w:rPr>
        <w:t xml:space="preserve">в течении всего 2015 года </w:t>
      </w:r>
      <w:r w:rsidRPr="00502837">
        <w:rPr>
          <w:rFonts w:ascii="Times New Roman" w:hAnsi="Times New Roman" w:cs="Times New Roman"/>
          <w:sz w:val="28"/>
          <w:szCs w:val="28"/>
        </w:rPr>
        <w:t>последовательно прово</w:t>
      </w:r>
      <w:r w:rsidR="002D074C">
        <w:rPr>
          <w:rFonts w:ascii="Times New Roman" w:hAnsi="Times New Roman" w:cs="Times New Roman"/>
          <w:sz w:val="28"/>
          <w:szCs w:val="28"/>
        </w:rPr>
        <w:t>дил</w:t>
      </w:r>
      <w:r w:rsidRPr="00502837">
        <w:rPr>
          <w:rFonts w:ascii="Times New Roman" w:hAnsi="Times New Roman" w:cs="Times New Roman"/>
          <w:sz w:val="28"/>
          <w:szCs w:val="28"/>
        </w:rPr>
        <w:t xml:space="preserve"> работу, направленную на сниж</w:t>
      </w:r>
      <w:r w:rsidR="002D074C">
        <w:rPr>
          <w:rFonts w:ascii="Times New Roman" w:hAnsi="Times New Roman" w:cs="Times New Roman"/>
          <w:sz w:val="28"/>
          <w:szCs w:val="28"/>
        </w:rPr>
        <w:t>ение административных барьеров на бизнес Республики Алтай.</w:t>
      </w:r>
    </w:p>
    <w:p w:rsidR="002D074C" w:rsidRDefault="00502837"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плана </w:t>
      </w:r>
      <w:r w:rsidRPr="00502837">
        <w:rPr>
          <w:rFonts w:ascii="Times New Roman" w:hAnsi="Times New Roman" w:cs="Times New Roman"/>
          <w:sz w:val="28"/>
          <w:szCs w:val="28"/>
        </w:rPr>
        <w:t>мероприятий («дорожная карта») внедрения в Республике Алтай лучших</w:t>
      </w:r>
      <w:r>
        <w:rPr>
          <w:rFonts w:ascii="Times New Roman" w:hAnsi="Times New Roman" w:cs="Times New Roman"/>
          <w:sz w:val="28"/>
          <w:szCs w:val="28"/>
        </w:rPr>
        <w:t xml:space="preserve"> практик Национального рейтинга </w:t>
      </w:r>
      <w:r w:rsidRPr="00502837">
        <w:rPr>
          <w:rFonts w:ascii="Times New Roman" w:hAnsi="Times New Roman" w:cs="Times New Roman"/>
          <w:sz w:val="28"/>
          <w:szCs w:val="28"/>
        </w:rPr>
        <w:t>состояния инвестиционного климата в субъектах Российской Федерации</w:t>
      </w:r>
      <w:r w:rsidR="002D074C">
        <w:rPr>
          <w:rFonts w:ascii="Times New Roman" w:hAnsi="Times New Roman" w:cs="Times New Roman"/>
          <w:sz w:val="28"/>
          <w:szCs w:val="28"/>
        </w:rPr>
        <w:t>, где одним из этапов реализации «дорожной карты» является «Административное давление на бизнес»</w:t>
      </w:r>
      <w:r w:rsidR="0063394D">
        <w:rPr>
          <w:rFonts w:ascii="Times New Roman" w:hAnsi="Times New Roman" w:cs="Times New Roman"/>
          <w:sz w:val="28"/>
          <w:szCs w:val="28"/>
        </w:rPr>
        <w:t>,</w:t>
      </w:r>
      <w:r w:rsidR="002D074C">
        <w:rPr>
          <w:rFonts w:ascii="Times New Roman" w:hAnsi="Times New Roman" w:cs="Times New Roman"/>
          <w:sz w:val="28"/>
          <w:szCs w:val="28"/>
        </w:rPr>
        <w:t xml:space="preserve"> в 2015 году была создана рабочая группа по данному направлению.</w:t>
      </w:r>
    </w:p>
    <w:p w:rsidR="0063394D" w:rsidRDefault="0063394D"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Ответственными органами государственной власти Республики Алтай за реализацию «дорожной карты» по направлению «Административное давление на бизнес» были определены Управление</w:t>
      </w:r>
      <w:r w:rsidRPr="0063394D">
        <w:rPr>
          <w:rFonts w:ascii="Times New Roman" w:hAnsi="Times New Roman" w:cs="Times New Roman"/>
          <w:sz w:val="28"/>
          <w:szCs w:val="28"/>
        </w:rPr>
        <w:t xml:space="preserve"> Федеральной антимонопольной службы</w:t>
      </w:r>
      <w:r>
        <w:rPr>
          <w:rFonts w:ascii="Times New Roman" w:hAnsi="Times New Roman" w:cs="Times New Roman"/>
          <w:sz w:val="28"/>
          <w:szCs w:val="28"/>
        </w:rPr>
        <w:t xml:space="preserve"> по Республике Алтай (далее УФАС по Республике Алтай) и Аппарат Уполномоченного по защите прав предпринимателей в Республике Алтай (далее Аппарат). Руководителем рабочей группы назначен руководитель УФАС по Республике Алтай -  </w:t>
      </w:r>
      <w:proofErr w:type="spellStart"/>
      <w:r>
        <w:rPr>
          <w:rFonts w:ascii="Times New Roman" w:hAnsi="Times New Roman" w:cs="Times New Roman"/>
          <w:sz w:val="28"/>
          <w:szCs w:val="28"/>
        </w:rPr>
        <w:t>Елбаева</w:t>
      </w:r>
      <w:proofErr w:type="spellEnd"/>
      <w:r>
        <w:rPr>
          <w:rFonts w:ascii="Times New Roman" w:hAnsi="Times New Roman" w:cs="Times New Roman"/>
          <w:sz w:val="28"/>
          <w:szCs w:val="28"/>
        </w:rPr>
        <w:t xml:space="preserve"> Н.А.</w:t>
      </w:r>
    </w:p>
    <w:p w:rsidR="00502837" w:rsidRDefault="0063394D"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53C4F">
        <w:rPr>
          <w:rFonts w:ascii="Times New Roman" w:hAnsi="Times New Roman" w:cs="Times New Roman"/>
          <w:sz w:val="28"/>
          <w:szCs w:val="28"/>
        </w:rPr>
        <w:t xml:space="preserve">Для количественной оценки </w:t>
      </w:r>
      <w:r w:rsidR="007F48CF" w:rsidRPr="00A53C4F">
        <w:rPr>
          <w:rFonts w:ascii="Times New Roman" w:hAnsi="Times New Roman" w:cs="Times New Roman"/>
          <w:sz w:val="28"/>
          <w:szCs w:val="28"/>
        </w:rPr>
        <w:t>необоснованного вмешательства</w:t>
      </w:r>
      <w:r w:rsidR="00A53C4F">
        <w:rPr>
          <w:rFonts w:ascii="Times New Roman" w:hAnsi="Times New Roman" w:cs="Times New Roman"/>
          <w:sz w:val="28"/>
          <w:szCs w:val="28"/>
        </w:rPr>
        <w:t xml:space="preserve">, а также излишнего административного давления на бизнес Республики Алтай со стороны органов власти, контрольно-надзорных органов власти Республики Алтай и естественных монополий были определены </w:t>
      </w:r>
      <w:r w:rsidR="00502837">
        <w:rPr>
          <w:rFonts w:ascii="Times New Roman" w:hAnsi="Times New Roman" w:cs="Times New Roman"/>
          <w:sz w:val="28"/>
          <w:szCs w:val="28"/>
        </w:rPr>
        <w:t>три количественных показателя:</w:t>
      </w:r>
    </w:p>
    <w:p w:rsidR="00502837" w:rsidRDefault="00502837"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10590">
        <w:rPr>
          <w:rFonts w:ascii="Times New Roman" w:hAnsi="Times New Roman" w:cs="Times New Roman"/>
          <w:i/>
          <w:sz w:val="28"/>
          <w:szCs w:val="28"/>
          <w:u w:val="single"/>
        </w:rPr>
        <w:t>Количество запрошенных дополнительных документов у предприятий в год</w:t>
      </w:r>
      <w:r>
        <w:rPr>
          <w:rFonts w:ascii="Times New Roman" w:hAnsi="Times New Roman" w:cs="Times New Roman"/>
          <w:sz w:val="28"/>
          <w:szCs w:val="28"/>
        </w:rPr>
        <w:t xml:space="preserve"> – данный показатель характеризует информацию </w:t>
      </w:r>
      <w:r w:rsidRPr="00410590">
        <w:rPr>
          <w:rFonts w:ascii="Times New Roman" w:hAnsi="Times New Roman" w:cs="Times New Roman"/>
          <w:sz w:val="28"/>
          <w:szCs w:val="28"/>
        </w:rPr>
        <w:t>по выявлению необоснованного вмешательства в пр</w:t>
      </w:r>
      <w:r>
        <w:rPr>
          <w:rFonts w:ascii="Times New Roman" w:hAnsi="Times New Roman" w:cs="Times New Roman"/>
          <w:sz w:val="28"/>
          <w:szCs w:val="28"/>
        </w:rPr>
        <w:t xml:space="preserve">едпринимательскую деятельность </w:t>
      </w:r>
      <w:r w:rsidRPr="00410590">
        <w:rPr>
          <w:rFonts w:ascii="Times New Roman" w:hAnsi="Times New Roman" w:cs="Times New Roman"/>
          <w:sz w:val="28"/>
          <w:szCs w:val="28"/>
        </w:rPr>
        <w:t xml:space="preserve">при проведении плановых проверок </w:t>
      </w:r>
      <w:r>
        <w:rPr>
          <w:rFonts w:ascii="Times New Roman" w:hAnsi="Times New Roman" w:cs="Times New Roman"/>
          <w:sz w:val="28"/>
          <w:szCs w:val="28"/>
        </w:rPr>
        <w:t>со стороны надзорно-контрольных</w:t>
      </w:r>
      <w:r w:rsidRPr="00410590">
        <w:rPr>
          <w:rFonts w:ascii="Times New Roman" w:hAnsi="Times New Roman" w:cs="Times New Roman"/>
          <w:sz w:val="28"/>
          <w:szCs w:val="28"/>
        </w:rPr>
        <w:t xml:space="preserve"> орган</w:t>
      </w:r>
      <w:r>
        <w:rPr>
          <w:rFonts w:ascii="Times New Roman" w:hAnsi="Times New Roman" w:cs="Times New Roman"/>
          <w:sz w:val="28"/>
          <w:szCs w:val="28"/>
        </w:rPr>
        <w:t>ов</w:t>
      </w:r>
      <w:r w:rsidRPr="00410590">
        <w:rPr>
          <w:rFonts w:ascii="Times New Roman" w:hAnsi="Times New Roman" w:cs="Times New Roman"/>
          <w:sz w:val="28"/>
          <w:szCs w:val="28"/>
        </w:rPr>
        <w:t xml:space="preserve"> </w:t>
      </w:r>
      <w:r w:rsidRPr="00662907">
        <w:rPr>
          <w:rFonts w:ascii="Times New Roman" w:hAnsi="Times New Roman" w:cs="Times New Roman"/>
          <w:sz w:val="28"/>
          <w:szCs w:val="28"/>
        </w:rPr>
        <w:t>государственной</w:t>
      </w:r>
      <w:r>
        <w:rPr>
          <w:rFonts w:ascii="Times New Roman" w:hAnsi="Times New Roman" w:cs="Times New Roman"/>
          <w:sz w:val="28"/>
          <w:szCs w:val="28"/>
        </w:rPr>
        <w:t xml:space="preserve"> власти </w:t>
      </w:r>
      <w:r w:rsidRPr="00410590">
        <w:rPr>
          <w:rFonts w:ascii="Times New Roman" w:hAnsi="Times New Roman" w:cs="Times New Roman"/>
          <w:sz w:val="28"/>
          <w:szCs w:val="28"/>
        </w:rPr>
        <w:t>Республики Алтай</w:t>
      </w:r>
      <w:r>
        <w:rPr>
          <w:rFonts w:ascii="Times New Roman" w:hAnsi="Times New Roman" w:cs="Times New Roman"/>
          <w:sz w:val="28"/>
          <w:szCs w:val="28"/>
        </w:rPr>
        <w:t xml:space="preserve">. </w:t>
      </w:r>
    </w:p>
    <w:p w:rsidR="00502837" w:rsidRDefault="00502837" w:rsidP="00EF2EFC">
      <w:pPr>
        <w:spacing w:after="0" w:line="360" w:lineRule="auto"/>
        <w:ind w:firstLine="709"/>
        <w:jc w:val="both"/>
        <w:rPr>
          <w:rFonts w:ascii="Times New Roman" w:hAnsi="Times New Roman" w:cs="Times New Roman"/>
          <w:sz w:val="28"/>
          <w:szCs w:val="28"/>
        </w:rPr>
      </w:pPr>
      <w:r w:rsidRPr="00A767F2">
        <w:rPr>
          <w:rFonts w:ascii="Times New Roman" w:hAnsi="Times New Roman" w:cs="Times New Roman"/>
          <w:sz w:val="28"/>
          <w:szCs w:val="28"/>
        </w:rPr>
        <w:lastRenderedPageBreak/>
        <w:t xml:space="preserve">2. </w:t>
      </w:r>
      <w:r w:rsidRPr="00A767F2">
        <w:rPr>
          <w:rFonts w:ascii="Times New Roman" w:hAnsi="Times New Roman" w:cs="Times New Roman"/>
          <w:i/>
          <w:sz w:val="28"/>
          <w:szCs w:val="28"/>
          <w:u w:val="single"/>
        </w:rPr>
        <w:t>Среднее количество проверок в год</w:t>
      </w:r>
      <w:r>
        <w:rPr>
          <w:rFonts w:ascii="Times New Roman" w:hAnsi="Times New Roman" w:cs="Times New Roman"/>
          <w:sz w:val="28"/>
          <w:szCs w:val="28"/>
        </w:rPr>
        <w:t xml:space="preserve"> – характеризует информацию по</w:t>
      </w:r>
      <w:r w:rsidRPr="00A767F2">
        <w:rPr>
          <w:rFonts w:ascii="Times New Roman" w:hAnsi="Times New Roman" w:cs="Times New Roman"/>
          <w:sz w:val="28"/>
          <w:szCs w:val="28"/>
        </w:rPr>
        <w:t xml:space="preserve"> </w:t>
      </w:r>
      <w:r>
        <w:rPr>
          <w:rFonts w:ascii="Times New Roman" w:hAnsi="Times New Roman" w:cs="Times New Roman"/>
          <w:sz w:val="28"/>
          <w:szCs w:val="28"/>
        </w:rPr>
        <w:t>количеству</w:t>
      </w:r>
      <w:r w:rsidRPr="00A767F2">
        <w:rPr>
          <w:rFonts w:ascii="Times New Roman" w:hAnsi="Times New Roman" w:cs="Times New Roman"/>
          <w:sz w:val="28"/>
          <w:szCs w:val="28"/>
        </w:rPr>
        <w:t xml:space="preserve"> </w:t>
      </w:r>
      <w:r>
        <w:rPr>
          <w:rFonts w:ascii="Times New Roman" w:hAnsi="Times New Roman" w:cs="Times New Roman"/>
          <w:sz w:val="28"/>
          <w:szCs w:val="28"/>
        </w:rPr>
        <w:t xml:space="preserve">внеплановых </w:t>
      </w:r>
      <w:r w:rsidRPr="00A767F2">
        <w:rPr>
          <w:rFonts w:ascii="Times New Roman" w:hAnsi="Times New Roman" w:cs="Times New Roman"/>
          <w:sz w:val="28"/>
          <w:szCs w:val="28"/>
        </w:rPr>
        <w:t>проверок в отношении одного респондента</w:t>
      </w:r>
      <w:r>
        <w:rPr>
          <w:rFonts w:ascii="Times New Roman" w:hAnsi="Times New Roman" w:cs="Times New Roman"/>
          <w:sz w:val="28"/>
          <w:szCs w:val="28"/>
        </w:rPr>
        <w:t xml:space="preserve"> (одного субъекта предпринимательства). Направлена на в</w:t>
      </w:r>
      <w:r w:rsidRPr="00A767F2">
        <w:rPr>
          <w:rFonts w:ascii="Times New Roman" w:hAnsi="Times New Roman" w:cs="Times New Roman"/>
          <w:sz w:val="28"/>
          <w:szCs w:val="28"/>
        </w:rPr>
        <w:t>ыявление и снижение незаконных внеплановых проверок в отношении субъектов предпринимательской деятельности Республики Алтай</w:t>
      </w:r>
      <w:r>
        <w:rPr>
          <w:rFonts w:ascii="Times New Roman" w:hAnsi="Times New Roman" w:cs="Times New Roman"/>
          <w:sz w:val="28"/>
          <w:szCs w:val="28"/>
        </w:rPr>
        <w:t>.</w:t>
      </w:r>
    </w:p>
    <w:p w:rsidR="00502837" w:rsidRDefault="00502837"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767F2">
        <w:rPr>
          <w:rFonts w:ascii="Times New Roman" w:hAnsi="Times New Roman" w:cs="Times New Roman"/>
          <w:i/>
          <w:sz w:val="28"/>
          <w:szCs w:val="28"/>
          <w:u w:val="single"/>
        </w:rPr>
        <w:t>Доля компаний, столкнувшихся с давлением со стороны органов власти или естественных монополий</w:t>
      </w:r>
      <w:r>
        <w:rPr>
          <w:rFonts w:ascii="Times New Roman" w:hAnsi="Times New Roman" w:cs="Times New Roman"/>
          <w:sz w:val="28"/>
          <w:szCs w:val="28"/>
        </w:rPr>
        <w:t xml:space="preserve"> – характеризует информацию</w:t>
      </w:r>
      <w:r w:rsidRPr="00A767F2">
        <w:rPr>
          <w:rFonts w:ascii="Times New Roman" w:hAnsi="Times New Roman" w:cs="Times New Roman"/>
          <w:sz w:val="28"/>
          <w:szCs w:val="28"/>
        </w:rPr>
        <w:t xml:space="preserve"> по выявлению коррупции должностными лицами органов</w:t>
      </w:r>
      <w:r>
        <w:rPr>
          <w:rFonts w:ascii="Times New Roman" w:hAnsi="Times New Roman" w:cs="Times New Roman"/>
          <w:sz w:val="28"/>
          <w:szCs w:val="28"/>
        </w:rPr>
        <w:t xml:space="preserve"> государственной</w:t>
      </w:r>
      <w:r w:rsidRPr="00A767F2">
        <w:rPr>
          <w:rFonts w:ascii="Times New Roman" w:hAnsi="Times New Roman" w:cs="Times New Roman"/>
          <w:sz w:val="28"/>
          <w:szCs w:val="28"/>
        </w:rPr>
        <w:t xml:space="preserve"> власти</w:t>
      </w:r>
      <w:r>
        <w:rPr>
          <w:rFonts w:ascii="Times New Roman" w:hAnsi="Times New Roman" w:cs="Times New Roman"/>
          <w:sz w:val="28"/>
          <w:szCs w:val="28"/>
        </w:rPr>
        <w:t xml:space="preserve"> Республики Алтай и необоснованного давления со стороны естественных монополий, осуществляющие свою деятельность на территории </w:t>
      </w:r>
      <w:r w:rsidRPr="00A767F2">
        <w:rPr>
          <w:rFonts w:ascii="Times New Roman" w:hAnsi="Times New Roman" w:cs="Times New Roman"/>
          <w:sz w:val="28"/>
          <w:szCs w:val="28"/>
        </w:rPr>
        <w:t>Республики Алтай</w:t>
      </w:r>
      <w:r>
        <w:rPr>
          <w:rFonts w:ascii="Times New Roman" w:hAnsi="Times New Roman" w:cs="Times New Roman"/>
          <w:sz w:val="28"/>
          <w:szCs w:val="28"/>
        </w:rPr>
        <w:t xml:space="preserve">. </w:t>
      </w:r>
    </w:p>
    <w:p w:rsidR="00502837" w:rsidRDefault="00502837"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мониторинга динамики значений вышеперечисленных показателей, а также</w:t>
      </w:r>
      <w:r w:rsidRPr="00410590">
        <w:rPr>
          <w:rFonts w:ascii="Times New Roman" w:hAnsi="Times New Roman" w:cs="Times New Roman"/>
          <w:sz w:val="28"/>
          <w:szCs w:val="28"/>
        </w:rPr>
        <w:t xml:space="preserve"> </w:t>
      </w:r>
      <w:r>
        <w:rPr>
          <w:rFonts w:ascii="Times New Roman" w:hAnsi="Times New Roman" w:cs="Times New Roman"/>
          <w:sz w:val="28"/>
          <w:szCs w:val="28"/>
        </w:rPr>
        <w:t xml:space="preserve">для </w:t>
      </w:r>
      <w:r w:rsidRPr="00410590">
        <w:rPr>
          <w:rFonts w:ascii="Times New Roman" w:hAnsi="Times New Roman" w:cs="Times New Roman"/>
          <w:sz w:val="28"/>
          <w:szCs w:val="28"/>
        </w:rPr>
        <w:t xml:space="preserve">получения </w:t>
      </w:r>
      <w:r>
        <w:rPr>
          <w:rFonts w:ascii="Times New Roman" w:hAnsi="Times New Roman" w:cs="Times New Roman"/>
          <w:sz w:val="28"/>
          <w:szCs w:val="28"/>
        </w:rPr>
        <w:t>мнений</w:t>
      </w:r>
      <w:r w:rsidRPr="00410590">
        <w:rPr>
          <w:rFonts w:ascii="Times New Roman" w:hAnsi="Times New Roman" w:cs="Times New Roman"/>
          <w:sz w:val="28"/>
          <w:szCs w:val="28"/>
        </w:rPr>
        <w:t xml:space="preserve"> предпри</w:t>
      </w:r>
      <w:r w:rsidRPr="00410590">
        <w:rPr>
          <w:rFonts w:ascii="Times New Roman" w:hAnsi="Times New Roman" w:cs="Times New Roman"/>
          <w:sz w:val="28"/>
          <w:szCs w:val="28"/>
        </w:rPr>
        <w:softHyphen/>
        <w:t xml:space="preserve">нимателей </w:t>
      </w:r>
      <w:r w:rsidR="00B50CA2">
        <w:rPr>
          <w:rFonts w:ascii="Times New Roman" w:hAnsi="Times New Roman" w:cs="Times New Roman"/>
          <w:sz w:val="28"/>
          <w:szCs w:val="28"/>
        </w:rPr>
        <w:t xml:space="preserve">Аппаратом в 2015 году </w:t>
      </w:r>
      <w:r w:rsidR="00CE228F">
        <w:rPr>
          <w:rFonts w:ascii="Times New Roman" w:hAnsi="Times New Roman" w:cs="Times New Roman"/>
          <w:sz w:val="28"/>
          <w:szCs w:val="28"/>
        </w:rPr>
        <w:t>проводились следующие</w:t>
      </w:r>
      <w:r>
        <w:rPr>
          <w:rFonts w:ascii="Times New Roman" w:hAnsi="Times New Roman" w:cs="Times New Roman"/>
          <w:sz w:val="28"/>
          <w:szCs w:val="28"/>
        </w:rPr>
        <w:t xml:space="preserve"> мероприятия:</w:t>
      </w:r>
    </w:p>
    <w:p w:rsidR="00502837" w:rsidRDefault="00502837"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Организация встреч с предпринимательским сообществом Республики Алтай.  </w:t>
      </w:r>
    </w:p>
    <w:p w:rsidR="00502837" w:rsidRDefault="00502837"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10590">
        <w:rPr>
          <w:rFonts w:ascii="Times New Roman" w:hAnsi="Times New Roman" w:cs="Times New Roman"/>
          <w:sz w:val="28"/>
          <w:szCs w:val="28"/>
        </w:rPr>
        <w:t>Опрос</w:t>
      </w:r>
      <w:r>
        <w:rPr>
          <w:rFonts w:ascii="Times New Roman" w:hAnsi="Times New Roman" w:cs="Times New Roman"/>
          <w:sz w:val="28"/>
          <w:szCs w:val="28"/>
        </w:rPr>
        <w:t>ы</w:t>
      </w:r>
      <w:r w:rsidR="00F66747">
        <w:rPr>
          <w:rFonts w:ascii="Times New Roman" w:hAnsi="Times New Roman" w:cs="Times New Roman"/>
          <w:sz w:val="28"/>
          <w:szCs w:val="28"/>
        </w:rPr>
        <w:t xml:space="preserve"> предпринимательского сообщества с целью получения</w:t>
      </w:r>
      <w:r w:rsidRPr="00410590">
        <w:rPr>
          <w:rFonts w:ascii="Times New Roman" w:hAnsi="Times New Roman" w:cs="Times New Roman"/>
          <w:sz w:val="28"/>
          <w:szCs w:val="28"/>
        </w:rPr>
        <w:t xml:space="preserve"> первичной информации</w:t>
      </w:r>
      <w:r>
        <w:rPr>
          <w:rFonts w:ascii="Times New Roman" w:hAnsi="Times New Roman" w:cs="Times New Roman"/>
          <w:sz w:val="28"/>
          <w:szCs w:val="28"/>
        </w:rPr>
        <w:t xml:space="preserve">.  </w:t>
      </w:r>
    </w:p>
    <w:p w:rsidR="00E16E11" w:rsidRDefault="00502837"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Ежеквартальный анализ </w:t>
      </w:r>
      <w:r w:rsidRPr="003351C6">
        <w:rPr>
          <w:rFonts w:ascii="Times New Roman" w:hAnsi="Times New Roman" w:cs="Times New Roman"/>
          <w:sz w:val="28"/>
          <w:szCs w:val="28"/>
        </w:rPr>
        <w:t xml:space="preserve">поступивших обращений от </w:t>
      </w:r>
      <w:r w:rsidR="00E16E11">
        <w:rPr>
          <w:rFonts w:ascii="Times New Roman" w:hAnsi="Times New Roman" w:cs="Times New Roman"/>
          <w:sz w:val="28"/>
          <w:szCs w:val="28"/>
        </w:rPr>
        <w:t>предпринимателей</w:t>
      </w:r>
      <w:r w:rsidRPr="003351C6">
        <w:rPr>
          <w:rFonts w:ascii="Times New Roman" w:hAnsi="Times New Roman" w:cs="Times New Roman"/>
          <w:sz w:val="28"/>
          <w:szCs w:val="28"/>
        </w:rPr>
        <w:t xml:space="preserve"> Республики Алтай</w:t>
      </w:r>
      <w:r>
        <w:rPr>
          <w:rFonts w:ascii="Times New Roman" w:hAnsi="Times New Roman" w:cs="Times New Roman"/>
          <w:sz w:val="28"/>
          <w:szCs w:val="28"/>
        </w:rPr>
        <w:t xml:space="preserve">. </w:t>
      </w:r>
    </w:p>
    <w:p w:rsidR="00502837" w:rsidRDefault="00502837"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Письменный запрос у контролирующих органов и естественных монополий соответствующей информации (запросы по проведению внеплановых проверок, ценовой аудит и технологический аудит у естественных монополий)</w:t>
      </w:r>
      <w:r w:rsidR="00E16E11">
        <w:rPr>
          <w:rFonts w:ascii="Times New Roman" w:hAnsi="Times New Roman" w:cs="Times New Roman"/>
          <w:sz w:val="28"/>
          <w:szCs w:val="28"/>
        </w:rPr>
        <w:t>.</w:t>
      </w:r>
    </w:p>
    <w:p w:rsidR="00DA0350" w:rsidRDefault="00DA0350"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Организация эффективного взаимодействия с другими органами власти </w:t>
      </w:r>
      <w:r w:rsidR="00B03CE0">
        <w:rPr>
          <w:rFonts w:ascii="Times New Roman" w:hAnsi="Times New Roman" w:cs="Times New Roman"/>
          <w:sz w:val="28"/>
          <w:szCs w:val="28"/>
        </w:rPr>
        <w:t xml:space="preserve">Республики Алтай </w:t>
      </w:r>
      <w:r>
        <w:rPr>
          <w:rFonts w:ascii="Times New Roman" w:hAnsi="Times New Roman" w:cs="Times New Roman"/>
          <w:sz w:val="28"/>
          <w:szCs w:val="28"/>
        </w:rPr>
        <w:t xml:space="preserve">для эффективного </w:t>
      </w:r>
      <w:r w:rsidR="00B03CE0">
        <w:rPr>
          <w:rFonts w:ascii="Times New Roman" w:eastAsia="Times New Roman" w:hAnsi="Times New Roman" w:cs="Times New Roman"/>
          <w:sz w:val="28"/>
          <w:szCs w:val="28"/>
          <w:lang w:eastAsia="ru-RU"/>
        </w:rPr>
        <w:t>надзора в сфере защиты прав субъектов предпринимательской деятельности</w:t>
      </w:r>
      <w:r w:rsidR="00B03CE0">
        <w:rPr>
          <w:rFonts w:ascii="Times New Roman" w:eastAsia="Times New Roman" w:hAnsi="Times New Roman" w:cs="Times New Roman"/>
          <w:sz w:val="28"/>
          <w:szCs w:val="28"/>
          <w:lang w:eastAsia="ru-RU"/>
        </w:rPr>
        <w:t>.</w:t>
      </w:r>
    </w:p>
    <w:p w:rsidR="00502837" w:rsidRDefault="00502837" w:rsidP="00EF2EFC">
      <w:pPr>
        <w:spacing w:after="0" w:line="36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1. </w:t>
      </w:r>
      <w:r w:rsidR="00213FC4">
        <w:rPr>
          <w:rFonts w:ascii="Times New Roman" w:eastAsia="Times New Roman" w:hAnsi="Times New Roman" w:cs="Times New Roman"/>
          <w:sz w:val="28"/>
          <w:szCs w:val="28"/>
          <w:lang w:eastAsia="zh-CN"/>
        </w:rPr>
        <w:t xml:space="preserve">За сентябрь-октябрь 2015 г. </w:t>
      </w:r>
      <w:r>
        <w:rPr>
          <w:rFonts w:ascii="Times New Roman" w:eastAsia="Times New Roman" w:hAnsi="Times New Roman" w:cs="Times New Roman"/>
          <w:sz w:val="28"/>
          <w:szCs w:val="28"/>
          <w:lang w:eastAsia="zh-CN"/>
        </w:rPr>
        <w:t xml:space="preserve">Аппаратом были проведены выездные встречи с предпринимательским сообществом </w:t>
      </w:r>
      <w:r w:rsidR="00332C49">
        <w:rPr>
          <w:rFonts w:ascii="Times New Roman" w:eastAsia="Times New Roman" w:hAnsi="Times New Roman" w:cs="Times New Roman"/>
          <w:sz w:val="28"/>
          <w:szCs w:val="28"/>
          <w:lang w:eastAsia="zh-CN"/>
        </w:rPr>
        <w:t>в муниципальных образованиях</w:t>
      </w:r>
      <w:r>
        <w:rPr>
          <w:rFonts w:ascii="Times New Roman" w:eastAsia="Times New Roman" w:hAnsi="Times New Roman" w:cs="Times New Roman"/>
          <w:sz w:val="28"/>
          <w:szCs w:val="28"/>
          <w:lang w:eastAsia="zh-CN"/>
        </w:rPr>
        <w:t xml:space="preserve"> Республики Алтай с участием контрольно-надзорных органов </w:t>
      </w:r>
      <w:r>
        <w:rPr>
          <w:rFonts w:ascii="Times New Roman" w:eastAsia="Times New Roman" w:hAnsi="Times New Roman" w:cs="Times New Roman"/>
          <w:sz w:val="28"/>
          <w:szCs w:val="28"/>
          <w:lang w:eastAsia="zh-CN"/>
        </w:rPr>
        <w:lastRenderedPageBreak/>
        <w:t>государственной власти Республики Алтай, а также органов местного самоуправления муниципальных образований.</w:t>
      </w:r>
    </w:p>
    <w:p w:rsidR="00502837" w:rsidRDefault="00AA12D5" w:rsidP="00EF2EFC">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В мероприятиях</w:t>
      </w:r>
      <w:r w:rsidR="00502837" w:rsidRPr="0092570D">
        <w:rPr>
          <w:rFonts w:ascii="Times New Roman" w:eastAsia="Times New Roman" w:hAnsi="Times New Roman" w:cs="Times New Roman"/>
          <w:sz w:val="28"/>
          <w:szCs w:val="28"/>
          <w:lang w:eastAsia="zh-CN"/>
        </w:rPr>
        <w:t xml:space="preserve"> приняли участие представители: Прокуратуры Республики Алтай, Управления Росреестра по Республике Алтай, Управления Федеральной налоговой службы по Республике Алтай, ОАО «Россельхозбанк», ОАО «Сбербанк России», Министерства сельского хозяйства Республики Алтай, ГБУ РА «Центр развития туризма и предпринимательства Республики Алтай», Министерства экономического развития и туризма Республики Алтай, НП «Объединения предпринимателей Республики Алтай», Министерства финансов Республики Алтай, ГУ МЧС России по РА, Управления Роспотребнадзора </w:t>
      </w:r>
      <w:r w:rsidR="00502837">
        <w:rPr>
          <w:rFonts w:ascii="Times New Roman" w:eastAsia="Times New Roman" w:hAnsi="Times New Roman" w:cs="Times New Roman"/>
          <w:sz w:val="28"/>
          <w:szCs w:val="28"/>
          <w:lang w:eastAsia="zh-CN"/>
        </w:rPr>
        <w:t>по РА, Фонда поддержки МСП РА, О</w:t>
      </w:r>
      <w:r w:rsidR="00502837" w:rsidRPr="0092570D">
        <w:rPr>
          <w:rFonts w:ascii="Times New Roman" w:eastAsia="Times New Roman" w:hAnsi="Times New Roman" w:cs="Times New Roman"/>
          <w:sz w:val="28"/>
          <w:szCs w:val="28"/>
          <w:lang w:eastAsia="zh-CN"/>
        </w:rPr>
        <w:t>тдела ветеринарного и фитосанитарного надзора по Республике Алтай Управления Россельхознадзора по Алтайскому краю и Республике Алтай; Управления Федеральной антимонопольной службы по Республике Алтай, Управления Росприроднадзора по Алтайскому краю и Республике Алтай.</w:t>
      </w:r>
    </w:p>
    <w:p w:rsidR="00A45731" w:rsidRDefault="00502837" w:rsidP="00EF2EFC">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Встречи состоялись в </w:t>
      </w:r>
      <w:r w:rsidR="00332C49">
        <w:rPr>
          <w:rFonts w:ascii="Times New Roman" w:eastAsia="Times New Roman" w:hAnsi="Times New Roman" w:cs="Times New Roman"/>
          <w:sz w:val="28"/>
          <w:szCs w:val="28"/>
          <w:lang w:eastAsia="zh-CN"/>
        </w:rPr>
        <w:t xml:space="preserve">6 </w:t>
      </w:r>
      <w:r>
        <w:rPr>
          <w:rFonts w:ascii="Times New Roman" w:eastAsia="Times New Roman" w:hAnsi="Times New Roman" w:cs="Times New Roman"/>
          <w:sz w:val="28"/>
          <w:szCs w:val="28"/>
          <w:lang w:eastAsia="zh-CN"/>
        </w:rPr>
        <w:t xml:space="preserve">муниципальных образованиях: </w:t>
      </w:r>
    </w:p>
    <w:p w:rsidR="00A45731" w:rsidRPr="00A45731" w:rsidRDefault="00332C49" w:rsidP="00EF2EFC">
      <w:pPr>
        <w:pStyle w:val="a3"/>
        <w:numPr>
          <w:ilvl w:val="0"/>
          <w:numId w:val="2"/>
        </w:numPr>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МО «Чойский район»;</w:t>
      </w:r>
      <w:r w:rsidR="00502837" w:rsidRPr="00A45731">
        <w:rPr>
          <w:rFonts w:ascii="Times New Roman" w:eastAsia="Times New Roman" w:hAnsi="Times New Roman" w:cs="Times New Roman"/>
          <w:sz w:val="28"/>
          <w:szCs w:val="28"/>
          <w:lang w:eastAsia="zh-CN"/>
        </w:rPr>
        <w:t xml:space="preserve"> </w:t>
      </w:r>
    </w:p>
    <w:p w:rsidR="00A45731" w:rsidRPr="00A45731" w:rsidRDefault="00332C49" w:rsidP="00EF2EFC">
      <w:pPr>
        <w:pStyle w:val="a3"/>
        <w:numPr>
          <w:ilvl w:val="0"/>
          <w:numId w:val="2"/>
        </w:numPr>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МО «Турочакский район»;</w:t>
      </w:r>
      <w:r w:rsidR="00502837" w:rsidRPr="00A45731">
        <w:rPr>
          <w:rFonts w:ascii="Times New Roman" w:eastAsia="Times New Roman" w:hAnsi="Times New Roman" w:cs="Times New Roman"/>
          <w:sz w:val="28"/>
          <w:szCs w:val="28"/>
          <w:lang w:eastAsia="zh-CN"/>
        </w:rPr>
        <w:t xml:space="preserve"> </w:t>
      </w:r>
    </w:p>
    <w:p w:rsidR="00A45731" w:rsidRPr="00A45731" w:rsidRDefault="00332C49" w:rsidP="00EF2EFC">
      <w:pPr>
        <w:pStyle w:val="a3"/>
        <w:numPr>
          <w:ilvl w:val="0"/>
          <w:numId w:val="2"/>
        </w:numPr>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МО «Майминский район»;</w:t>
      </w:r>
      <w:r w:rsidR="00502837" w:rsidRPr="00A45731">
        <w:rPr>
          <w:rFonts w:ascii="Times New Roman" w:eastAsia="Times New Roman" w:hAnsi="Times New Roman" w:cs="Times New Roman"/>
          <w:sz w:val="28"/>
          <w:szCs w:val="28"/>
          <w:lang w:eastAsia="zh-CN"/>
        </w:rPr>
        <w:t xml:space="preserve"> </w:t>
      </w:r>
    </w:p>
    <w:p w:rsidR="00A45731" w:rsidRPr="00A45731" w:rsidRDefault="00332C49" w:rsidP="00EF2EFC">
      <w:pPr>
        <w:pStyle w:val="a3"/>
        <w:numPr>
          <w:ilvl w:val="0"/>
          <w:numId w:val="2"/>
        </w:numPr>
        <w:spacing w:after="0" w:line="36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МО «Чемальский район»;</w:t>
      </w:r>
      <w:r w:rsidR="00502837" w:rsidRPr="00A45731">
        <w:rPr>
          <w:rFonts w:ascii="Times New Roman" w:eastAsia="Times New Roman" w:hAnsi="Times New Roman" w:cs="Times New Roman"/>
          <w:sz w:val="28"/>
          <w:szCs w:val="28"/>
          <w:lang w:eastAsia="zh-CN"/>
        </w:rPr>
        <w:t xml:space="preserve"> </w:t>
      </w:r>
    </w:p>
    <w:p w:rsidR="00A45731" w:rsidRPr="00A45731" w:rsidRDefault="00502837" w:rsidP="00EF2EFC">
      <w:pPr>
        <w:pStyle w:val="a3"/>
        <w:numPr>
          <w:ilvl w:val="0"/>
          <w:numId w:val="2"/>
        </w:numPr>
        <w:spacing w:after="0" w:line="360" w:lineRule="auto"/>
        <w:jc w:val="both"/>
        <w:rPr>
          <w:rFonts w:ascii="Times New Roman" w:eastAsia="Times New Roman" w:hAnsi="Times New Roman" w:cs="Times New Roman"/>
          <w:sz w:val="28"/>
          <w:szCs w:val="28"/>
          <w:lang w:eastAsia="zh-CN"/>
        </w:rPr>
      </w:pPr>
      <w:r w:rsidRPr="00A45731">
        <w:rPr>
          <w:rFonts w:ascii="Times New Roman" w:eastAsia="Times New Roman" w:hAnsi="Times New Roman" w:cs="Times New Roman"/>
          <w:sz w:val="28"/>
          <w:szCs w:val="28"/>
          <w:lang w:eastAsia="zh-CN"/>
        </w:rPr>
        <w:t>МО «Шебалинский район»</w:t>
      </w:r>
      <w:r w:rsidR="00332C49">
        <w:rPr>
          <w:rFonts w:ascii="Times New Roman" w:eastAsia="Times New Roman" w:hAnsi="Times New Roman" w:cs="Times New Roman"/>
          <w:sz w:val="28"/>
          <w:szCs w:val="28"/>
          <w:lang w:eastAsia="zh-CN"/>
        </w:rPr>
        <w:t>;</w:t>
      </w:r>
      <w:r w:rsidR="00A45731" w:rsidRPr="00A45731">
        <w:rPr>
          <w:rFonts w:ascii="Times New Roman" w:eastAsia="Times New Roman" w:hAnsi="Times New Roman" w:cs="Times New Roman"/>
          <w:sz w:val="28"/>
          <w:szCs w:val="28"/>
          <w:lang w:eastAsia="zh-CN"/>
        </w:rPr>
        <w:t xml:space="preserve"> </w:t>
      </w:r>
    </w:p>
    <w:p w:rsidR="00502837" w:rsidRPr="00A45731" w:rsidRDefault="00A45731" w:rsidP="00EF2EFC">
      <w:pPr>
        <w:pStyle w:val="a3"/>
        <w:numPr>
          <w:ilvl w:val="0"/>
          <w:numId w:val="2"/>
        </w:numPr>
        <w:spacing w:after="0" w:line="360" w:lineRule="auto"/>
        <w:jc w:val="both"/>
        <w:rPr>
          <w:rFonts w:ascii="Times New Roman" w:eastAsia="Times New Roman" w:hAnsi="Times New Roman" w:cs="Times New Roman"/>
          <w:sz w:val="28"/>
          <w:szCs w:val="28"/>
          <w:lang w:eastAsia="zh-CN"/>
        </w:rPr>
      </w:pPr>
      <w:r w:rsidRPr="00A45731">
        <w:rPr>
          <w:rFonts w:ascii="Times New Roman" w:eastAsia="Times New Roman" w:hAnsi="Times New Roman" w:cs="Times New Roman"/>
          <w:sz w:val="28"/>
          <w:szCs w:val="28"/>
          <w:lang w:eastAsia="zh-CN"/>
        </w:rPr>
        <w:t>МО «Усть-Коксинский район».</w:t>
      </w:r>
      <w:r w:rsidR="00502837" w:rsidRPr="00A45731">
        <w:rPr>
          <w:rFonts w:ascii="Times New Roman" w:eastAsia="Times New Roman" w:hAnsi="Times New Roman" w:cs="Times New Roman"/>
          <w:sz w:val="28"/>
          <w:szCs w:val="28"/>
          <w:lang w:eastAsia="zh-CN"/>
        </w:rPr>
        <w:t xml:space="preserve"> </w:t>
      </w:r>
    </w:p>
    <w:p w:rsidR="00502837" w:rsidRDefault="00502837" w:rsidP="00EF2EFC">
      <w:pPr>
        <w:spacing w:after="0" w:line="36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Встречи проводились в режиме «вопрос-ответ», где были озвучены наиболее острые проблемы предпринимательского сообщества, в том числе по контрольно-надзорным мероприятиям и по выявлению административных барьеров для развития малого и среднего бизнеса на территории Республики Алтай. </w:t>
      </w:r>
    </w:p>
    <w:p w:rsidR="00502837" w:rsidRDefault="00502837" w:rsidP="00EF2EF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2. </w:t>
      </w:r>
      <w:r w:rsidR="00B80B90">
        <w:rPr>
          <w:rFonts w:ascii="Times New Roman" w:eastAsia="Times New Roman" w:hAnsi="Times New Roman" w:cs="Times New Roman"/>
          <w:sz w:val="28"/>
          <w:szCs w:val="28"/>
          <w:lang w:eastAsia="zh-CN"/>
        </w:rPr>
        <w:t>По итогам</w:t>
      </w:r>
      <w:r w:rsidRPr="00A3201B">
        <w:rPr>
          <w:rFonts w:ascii="Times New Roman" w:hAnsi="Times New Roman" w:cs="Times New Roman"/>
          <w:sz w:val="28"/>
          <w:szCs w:val="28"/>
        </w:rPr>
        <w:t xml:space="preserve"> </w:t>
      </w:r>
      <w:r w:rsidR="00AF1547">
        <w:rPr>
          <w:rFonts w:ascii="Times New Roman" w:hAnsi="Times New Roman" w:cs="Times New Roman"/>
          <w:sz w:val="28"/>
          <w:szCs w:val="28"/>
        </w:rPr>
        <w:t xml:space="preserve">3,4 квартала </w:t>
      </w:r>
      <w:r w:rsidRPr="00A3201B">
        <w:rPr>
          <w:rFonts w:ascii="Times New Roman" w:hAnsi="Times New Roman" w:cs="Times New Roman"/>
          <w:sz w:val="28"/>
          <w:szCs w:val="28"/>
        </w:rPr>
        <w:t>2015 года</w:t>
      </w:r>
      <w:r>
        <w:rPr>
          <w:rFonts w:ascii="Times New Roman" w:eastAsia="Times New Roman" w:hAnsi="Times New Roman" w:cs="Times New Roman"/>
          <w:sz w:val="28"/>
          <w:szCs w:val="28"/>
          <w:lang w:eastAsia="zh-CN"/>
        </w:rPr>
        <w:t xml:space="preserve"> </w:t>
      </w:r>
      <w:r w:rsidR="00B80B90">
        <w:rPr>
          <w:rFonts w:ascii="Times New Roman" w:eastAsia="Times New Roman" w:hAnsi="Times New Roman" w:cs="Times New Roman"/>
          <w:sz w:val="28"/>
          <w:szCs w:val="28"/>
          <w:lang w:eastAsia="zh-CN"/>
        </w:rPr>
        <w:t>сотрудниками Аппарата был</w:t>
      </w:r>
      <w:r w:rsidR="00AF1547">
        <w:rPr>
          <w:rFonts w:ascii="Times New Roman" w:eastAsia="Times New Roman" w:hAnsi="Times New Roman" w:cs="Times New Roman"/>
          <w:sz w:val="28"/>
          <w:szCs w:val="28"/>
          <w:lang w:eastAsia="zh-CN"/>
        </w:rPr>
        <w:t>и</w:t>
      </w:r>
      <w:r>
        <w:rPr>
          <w:rFonts w:ascii="Times New Roman" w:eastAsia="Times New Roman" w:hAnsi="Times New Roman" w:cs="Times New Roman"/>
          <w:sz w:val="28"/>
          <w:szCs w:val="28"/>
          <w:lang w:eastAsia="zh-CN"/>
        </w:rPr>
        <w:t xml:space="preserve"> проведен</w:t>
      </w:r>
      <w:r w:rsidR="00AF1547">
        <w:rPr>
          <w:rFonts w:ascii="Times New Roman" w:eastAsia="Times New Roman" w:hAnsi="Times New Roman" w:cs="Times New Roman"/>
          <w:sz w:val="28"/>
          <w:szCs w:val="28"/>
          <w:lang w:eastAsia="zh-CN"/>
        </w:rPr>
        <w:t>ы</w:t>
      </w:r>
      <w:r>
        <w:rPr>
          <w:rFonts w:ascii="Times New Roman" w:eastAsia="Times New Roman" w:hAnsi="Times New Roman" w:cs="Times New Roman"/>
          <w:sz w:val="28"/>
          <w:szCs w:val="28"/>
          <w:lang w:eastAsia="zh-CN"/>
        </w:rPr>
        <w:t xml:space="preserve"> социологически</w:t>
      </w:r>
      <w:r w:rsidR="005D0723">
        <w:rPr>
          <w:rFonts w:ascii="Times New Roman" w:eastAsia="Times New Roman" w:hAnsi="Times New Roman" w:cs="Times New Roman"/>
          <w:sz w:val="28"/>
          <w:szCs w:val="28"/>
          <w:lang w:eastAsia="zh-CN"/>
        </w:rPr>
        <w:t>е</w:t>
      </w:r>
      <w:r>
        <w:rPr>
          <w:rFonts w:ascii="Times New Roman" w:eastAsia="Times New Roman" w:hAnsi="Times New Roman" w:cs="Times New Roman"/>
          <w:sz w:val="28"/>
          <w:szCs w:val="28"/>
          <w:lang w:eastAsia="zh-CN"/>
        </w:rPr>
        <w:t xml:space="preserve"> опрос</w:t>
      </w:r>
      <w:r w:rsidR="005D0723">
        <w:rPr>
          <w:rFonts w:ascii="Times New Roman" w:eastAsia="Times New Roman" w:hAnsi="Times New Roman" w:cs="Times New Roman"/>
          <w:sz w:val="28"/>
          <w:szCs w:val="28"/>
          <w:lang w:eastAsia="zh-CN"/>
        </w:rPr>
        <w:t>ы</w:t>
      </w:r>
      <w:r>
        <w:rPr>
          <w:rFonts w:ascii="Times New Roman" w:eastAsia="Times New Roman" w:hAnsi="Times New Roman" w:cs="Times New Roman"/>
          <w:sz w:val="28"/>
          <w:szCs w:val="28"/>
          <w:lang w:eastAsia="zh-CN"/>
        </w:rPr>
        <w:t xml:space="preserve"> среди представителей бизнеса в форме заполнения анкеты по</w:t>
      </w:r>
      <w:r w:rsidRPr="004C2729">
        <w:rPr>
          <w:rFonts w:ascii="Times New Roman" w:eastAsia="Times New Roman" w:hAnsi="Times New Roman" w:cs="Times New Roman"/>
          <w:sz w:val="28"/>
          <w:szCs w:val="28"/>
          <w:lang w:eastAsia="zh-CN"/>
        </w:rPr>
        <w:t xml:space="preserve"> административному давлению на бизнес</w:t>
      </w:r>
      <w:r>
        <w:rPr>
          <w:rFonts w:ascii="Times New Roman" w:eastAsia="Times New Roman" w:hAnsi="Times New Roman" w:cs="Times New Roman"/>
          <w:sz w:val="28"/>
          <w:szCs w:val="28"/>
          <w:lang w:eastAsia="zh-CN"/>
        </w:rPr>
        <w:t>.</w:t>
      </w:r>
      <w:r w:rsidR="00AF1547">
        <w:rPr>
          <w:rFonts w:ascii="Times New Roman" w:eastAsia="Times New Roman" w:hAnsi="Times New Roman" w:cs="Times New Roman"/>
          <w:sz w:val="28"/>
          <w:szCs w:val="28"/>
          <w:lang w:eastAsia="zh-CN"/>
        </w:rPr>
        <w:t xml:space="preserve"> Опросы </w:t>
      </w:r>
      <w:r w:rsidR="00AF1547">
        <w:rPr>
          <w:rFonts w:ascii="Times New Roman" w:eastAsia="Times New Roman" w:hAnsi="Times New Roman" w:cs="Times New Roman"/>
          <w:sz w:val="28"/>
          <w:szCs w:val="28"/>
          <w:lang w:eastAsia="zh-CN"/>
        </w:rPr>
        <w:lastRenderedPageBreak/>
        <w:t xml:space="preserve">проводились в форме телефонного интервью, а также </w:t>
      </w:r>
      <w:r w:rsidR="00AF1547" w:rsidRPr="003351C6">
        <w:rPr>
          <w:rFonts w:ascii="Times New Roman" w:hAnsi="Times New Roman" w:cs="Times New Roman"/>
          <w:sz w:val="28"/>
          <w:szCs w:val="28"/>
        </w:rPr>
        <w:t>заполнения анкеты</w:t>
      </w:r>
      <w:r w:rsidR="00AF1547">
        <w:rPr>
          <w:rFonts w:ascii="Times New Roman" w:hAnsi="Times New Roman" w:cs="Times New Roman"/>
          <w:sz w:val="28"/>
          <w:szCs w:val="28"/>
        </w:rPr>
        <w:t xml:space="preserve"> (на бумажном носителе, в электронном).</w:t>
      </w:r>
      <w:r w:rsidR="00AF1547">
        <w:rPr>
          <w:rFonts w:ascii="Times New Roman" w:eastAsia="Times New Roman" w:hAnsi="Times New Roman" w:cs="Times New Roman"/>
          <w:sz w:val="28"/>
          <w:szCs w:val="28"/>
          <w:lang w:eastAsia="zh-CN"/>
        </w:rPr>
        <w:t xml:space="preserve"> Выборка</w:t>
      </w:r>
      <w:r w:rsidRPr="00A3201B">
        <w:rPr>
          <w:rFonts w:ascii="Times New Roman" w:hAnsi="Times New Roman" w:cs="Times New Roman"/>
          <w:sz w:val="28"/>
          <w:szCs w:val="28"/>
        </w:rPr>
        <w:t xml:space="preserve"> опроса, проведенного в </w:t>
      </w:r>
      <w:r w:rsidR="00B80B90">
        <w:rPr>
          <w:rFonts w:ascii="Times New Roman" w:hAnsi="Times New Roman" w:cs="Times New Roman"/>
          <w:sz w:val="28"/>
          <w:szCs w:val="28"/>
        </w:rPr>
        <w:t>11</w:t>
      </w:r>
      <w:r w:rsidRPr="00A3201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образованиях Республики Алтай составила </w:t>
      </w:r>
      <w:r w:rsidR="00A91BC1">
        <w:rPr>
          <w:rFonts w:ascii="Times New Roman" w:hAnsi="Times New Roman" w:cs="Times New Roman"/>
          <w:sz w:val="28"/>
          <w:szCs w:val="28"/>
        </w:rPr>
        <w:t>более 12</w:t>
      </w:r>
      <w:r w:rsidR="00B80B90">
        <w:rPr>
          <w:rFonts w:ascii="Times New Roman" w:hAnsi="Times New Roman" w:cs="Times New Roman"/>
          <w:sz w:val="28"/>
          <w:szCs w:val="28"/>
        </w:rPr>
        <w:t>0 предпринимателей</w:t>
      </w:r>
      <w:r w:rsidRPr="00A3201B">
        <w:rPr>
          <w:rFonts w:ascii="Times New Roman" w:hAnsi="Times New Roman" w:cs="Times New Roman"/>
          <w:sz w:val="28"/>
          <w:szCs w:val="28"/>
        </w:rPr>
        <w:t>.</w:t>
      </w:r>
    </w:p>
    <w:p w:rsidR="00502837" w:rsidRPr="00A3201B" w:rsidRDefault="00502837" w:rsidP="00EF2EFC">
      <w:pPr>
        <w:spacing w:after="0" w:line="360" w:lineRule="auto"/>
        <w:ind w:firstLine="709"/>
        <w:jc w:val="both"/>
        <w:rPr>
          <w:rFonts w:ascii="Times New Roman" w:hAnsi="Times New Roman" w:cs="Times New Roman"/>
          <w:sz w:val="28"/>
          <w:szCs w:val="28"/>
        </w:rPr>
      </w:pPr>
      <w:r w:rsidRPr="00A3201B">
        <w:rPr>
          <w:rFonts w:ascii="Times New Roman" w:hAnsi="Times New Roman" w:cs="Times New Roman"/>
          <w:sz w:val="28"/>
          <w:szCs w:val="28"/>
        </w:rPr>
        <w:t xml:space="preserve">Цель опроса - оценить влияние административной и регуляторной среды на развитие малого и среднего бизнеса в </w:t>
      </w:r>
      <w:r>
        <w:rPr>
          <w:rFonts w:ascii="Times New Roman" w:hAnsi="Times New Roman" w:cs="Times New Roman"/>
          <w:sz w:val="28"/>
          <w:szCs w:val="28"/>
        </w:rPr>
        <w:t>Республике Алтай</w:t>
      </w:r>
      <w:r w:rsidRPr="00A3201B">
        <w:rPr>
          <w:rFonts w:ascii="Times New Roman" w:hAnsi="Times New Roman" w:cs="Times New Roman"/>
          <w:sz w:val="28"/>
          <w:szCs w:val="28"/>
        </w:rPr>
        <w:t xml:space="preserve">, а также оценить уровень коррупционного воздействия на бизнес. </w:t>
      </w:r>
    </w:p>
    <w:p w:rsidR="00502837" w:rsidRPr="00A3201B" w:rsidRDefault="00502837" w:rsidP="00EF2EFC">
      <w:pPr>
        <w:spacing w:after="0" w:line="360" w:lineRule="auto"/>
        <w:ind w:firstLine="709"/>
        <w:jc w:val="both"/>
        <w:rPr>
          <w:rFonts w:ascii="Times New Roman" w:hAnsi="Times New Roman" w:cs="Times New Roman"/>
          <w:sz w:val="28"/>
          <w:szCs w:val="28"/>
        </w:rPr>
      </w:pPr>
      <w:r w:rsidRPr="00A3201B">
        <w:rPr>
          <w:rFonts w:ascii="Times New Roman" w:hAnsi="Times New Roman" w:cs="Times New Roman"/>
          <w:sz w:val="28"/>
          <w:szCs w:val="28"/>
        </w:rPr>
        <w:t>Опрашивались собственники</w:t>
      </w:r>
      <w:r>
        <w:rPr>
          <w:rFonts w:ascii="Times New Roman" w:hAnsi="Times New Roman" w:cs="Times New Roman"/>
          <w:sz w:val="28"/>
          <w:szCs w:val="28"/>
        </w:rPr>
        <w:t xml:space="preserve"> </w:t>
      </w:r>
      <w:r w:rsidRPr="00A3201B">
        <w:rPr>
          <w:rFonts w:ascii="Times New Roman" w:hAnsi="Times New Roman" w:cs="Times New Roman"/>
          <w:sz w:val="28"/>
          <w:szCs w:val="28"/>
        </w:rPr>
        <w:t xml:space="preserve">и руководители высшего звена компаний (директора и их заместители) в сферах </w:t>
      </w:r>
      <w:r>
        <w:rPr>
          <w:rFonts w:ascii="Times New Roman" w:hAnsi="Times New Roman" w:cs="Times New Roman"/>
          <w:sz w:val="28"/>
          <w:szCs w:val="28"/>
        </w:rPr>
        <w:t>туризма</w:t>
      </w:r>
      <w:r w:rsidRPr="00A3201B">
        <w:rPr>
          <w:rFonts w:ascii="Times New Roman" w:hAnsi="Times New Roman" w:cs="Times New Roman"/>
          <w:sz w:val="28"/>
          <w:szCs w:val="28"/>
        </w:rPr>
        <w:t>, сельского хозяйства, торговли и услуг.</w:t>
      </w:r>
    </w:p>
    <w:p w:rsidR="00502837" w:rsidRPr="00A3201B" w:rsidRDefault="00502837" w:rsidP="00EF2EFC">
      <w:pPr>
        <w:spacing w:after="0" w:line="360" w:lineRule="auto"/>
        <w:ind w:firstLine="709"/>
        <w:jc w:val="both"/>
        <w:rPr>
          <w:rFonts w:ascii="Times New Roman" w:hAnsi="Times New Roman" w:cs="Times New Roman"/>
          <w:sz w:val="28"/>
          <w:szCs w:val="28"/>
        </w:rPr>
      </w:pPr>
      <w:r w:rsidRPr="00A3201B">
        <w:rPr>
          <w:rFonts w:ascii="Times New Roman" w:hAnsi="Times New Roman" w:cs="Times New Roman"/>
          <w:sz w:val="28"/>
          <w:szCs w:val="28"/>
        </w:rPr>
        <w:t xml:space="preserve">К основным видам деятельности организаций, которые возглавляют респонденты, относятся </w:t>
      </w:r>
      <w:r>
        <w:rPr>
          <w:rFonts w:ascii="Times New Roman" w:eastAsia="Arial Unicode MS" w:hAnsi="Times New Roman" w:cs="Times New Roman"/>
          <w:color w:val="000000"/>
          <w:sz w:val="28"/>
          <w:szCs w:val="28"/>
          <w:u w:color="000000"/>
        </w:rPr>
        <w:t>туризм (28</w:t>
      </w:r>
      <w:r w:rsidRPr="00A3201B">
        <w:rPr>
          <w:rFonts w:ascii="Times New Roman" w:eastAsia="Arial Unicode MS" w:hAnsi="Times New Roman" w:cs="Times New Roman"/>
          <w:color w:val="000000"/>
          <w:sz w:val="28"/>
          <w:szCs w:val="28"/>
          <w:u w:color="000000"/>
        </w:rPr>
        <w:t>% ответов), сельское и лесное хозяйство (</w:t>
      </w:r>
      <w:r>
        <w:rPr>
          <w:rFonts w:ascii="Times New Roman" w:eastAsia="Arial Unicode MS" w:hAnsi="Times New Roman" w:cs="Times New Roman"/>
          <w:color w:val="000000"/>
          <w:sz w:val="28"/>
          <w:szCs w:val="28"/>
          <w:u w:color="000000"/>
        </w:rPr>
        <w:t>35</w:t>
      </w:r>
      <w:r w:rsidRPr="00A3201B">
        <w:rPr>
          <w:rFonts w:ascii="Times New Roman" w:eastAsia="Arial Unicode MS" w:hAnsi="Times New Roman" w:cs="Times New Roman"/>
          <w:color w:val="000000"/>
          <w:sz w:val="28"/>
          <w:szCs w:val="28"/>
          <w:u w:color="000000"/>
        </w:rPr>
        <w:t xml:space="preserve">%) и </w:t>
      </w:r>
      <w:r w:rsidRPr="00A3201B">
        <w:rPr>
          <w:rFonts w:ascii="Times New Roman" w:hAnsi="Times New Roman" w:cs="Times New Roman"/>
          <w:sz w:val="28"/>
          <w:szCs w:val="28"/>
        </w:rPr>
        <w:t>р</w:t>
      </w:r>
      <w:r w:rsidRPr="00A3201B">
        <w:rPr>
          <w:rFonts w:ascii="Times New Roman" w:eastAsia="Arial Unicode MS" w:hAnsi="Times New Roman" w:cs="Times New Roman"/>
          <w:color w:val="000000"/>
          <w:sz w:val="28"/>
          <w:szCs w:val="28"/>
          <w:u w:color="000000"/>
        </w:rPr>
        <w:t>озничная торговля (16%)</w:t>
      </w:r>
      <w:r>
        <w:rPr>
          <w:rFonts w:ascii="Times New Roman" w:eastAsia="Arial Unicode MS" w:hAnsi="Times New Roman" w:cs="Times New Roman"/>
          <w:color w:val="000000"/>
          <w:sz w:val="28"/>
          <w:szCs w:val="28"/>
          <w:u w:color="000000"/>
        </w:rPr>
        <w:t>, другие – 24%</w:t>
      </w:r>
      <w:r w:rsidRPr="00A3201B">
        <w:rPr>
          <w:rFonts w:ascii="Times New Roman" w:eastAsia="Arial Unicode MS" w:hAnsi="Times New Roman" w:cs="Times New Roman"/>
          <w:color w:val="000000"/>
          <w:sz w:val="28"/>
          <w:szCs w:val="28"/>
          <w:u w:color="000000"/>
        </w:rPr>
        <w:t>.</w:t>
      </w:r>
    </w:p>
    <w:p w:rsidR="009E45B4" w:rsidRPr="00B31B3D" w:rsidRDefault="009E45B4" w:rsidP="009E45B4">
      <w:pPr>
        <w:spacing w:line="235" w:lineRule="auto"/>
        <w:jc w:val="center"/>
        <w:rPr>
          <w:rFonts w:ascii="Times New Roman" w:hAnsi="Times New Roman" w:cs="Times New Roman"/>
          <w:b/>
        </w:rPr>
      </w:pPr>
      <w:r w:rsidRPr="00B31B3D">
        <w:rPr>
          <w:rFonts w:ascii="Times New Roman" w:hAnsi="Times New Roman" w:cs="Times New Roman"/>
          <w:b/>
        </w:rPr>
        <w:t>Распределение ответов респондентов на вопрос: «Оцените, пожалуйста, объем общей административной нагрузки на Ваш бизнес (налоги и иные обязательные платежи государству; затраты на подключение к коммунальным, а также ограниченным ресурсам; на содержание избыточного непроизводительного оборудования, помещений и персонала; на составление налоговой, кадровой и технической отчетности; на получение разрешений/согласований; на проведение проверок)?»</w:t>
      </w:r>
    </w:p>
    <w:p w:rsidR="009E45B4" w:rsidRPr="008B6444" w:rsidRDefault="009E45B4" w:rsidP="00E81519">
      <w:pPr>
        <w:spacing w:after="0" w:line="240" w:lineRule="auto"/>
        <w:ind w:right="98"/>
        <w:jc w:val="right"/>
        <w:rPr>
          <w:rFonts w:ascii="TimesET" w:hAnsi="TimesET"/>
          <w:sz w:val="20"/>
          <w:szCs w:val="20"/>
        </w:rPr>
      </w:pPr>
      <w:r w:rsidRPr="008B6444">
        <w:rPr>
          <w:rFonts w:ascii="TimesET" w:hAnsi="TimesET"/>
          <w:sz w:val="20"/>
          <w:szCs w:val="20"/>
        </w:rPr>
        <w:t>(в % от числа опрошенных)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2"/>
        <w:gridCol w:w="3582"/>
      </w:tblGrid>
      <w:tr w:rsidR="009E45B4" w:rsidRPr="008B6444" w:rsidTr="00B31B3D">
        <w:trPr>
          <w:jc w:val="center"/>
        </w:trPr>
        <w:tc>
          <w:tcPr>
            <w:tcW w:w="5838" w:type="dxa"/>
            <w:tcBorders>
              <w:bottom w:val="single" w:sz="4" w:space="0" w:color="000000"/>
            </w:tcBorders>
            <w:shd w:val="clear" w:color="auto" w:fill="FFFFFF" w:themeFill="background1"/>
          </w:tcPr>
          <w:p w:rsidR="009E45B4" w:rsidRPr="00B31B3D" w:rsidRDefault="009E45B4" w:rsidP="00E81519">
            <w:pPr>
              <w:spacing w:after="0" w:line="240" w:lineRule="auto"/>
              <w:jc w:val="center"/>
              <w:rPr>
                <w:rFonts w:ascii="Times New Roman" w:hAnsi="Times New Roman" w:cs="Times New Roman"/>
                <w:b/>
              </w:rPr>
            </w:pPr>
            <w:r w:rsidRPr="00B31B3D">
              <w:rPr>
                <w:rFonts w:ascii="Times New Roman" w:hAnsi="Times New Roman" w:cs="Times New Roman"/>
                <w:b/>
              </w:rPr>
              <w:t>Варианты ответов</w:t>
            </w:r>
          </w:p>
        </w:tc>
        <w:tc>
          <w:tcPr>
            <w:tcW w:w="3625" w:type="dxa"/>
            <w:tcBorders>
              <w:bottom w:val="single" w:sz="4" w:space="0" w:color="000000"/>
            </w:tcBorders>
            <w:shd w:val="clear" w:color="auto" w:fill="FFFFFF" w:themeFill="background1"/>
          </w:tcPr>
          <w:p w:rsidR="009E45B4" w:rsidRPr="00B31B3D" w:rsidRDefault="009E45B4" w:rsidP="00E81519">
            <w:pPr>
              <w:spacing w:after="0" w:line="240" w:lineRule="auto"/>
              <w:jc w:val="center"/>
              <w:rPr>
                <w:rFonts w:ascii="Times New Roman" w:hAnsi="Times New Roman" w:cs="Times New Roman"/>
                <w:b/>
                <w:bCs/>
              </w:rPr>
            </w:pPr>
            <w:r w:rsidRPr="00B31B3D">
              <w:rPr>
                <w:rFonts w:ascii="Times New Roman" w:hAnsi="Times New Roman" w:cs="Times New Roman"/>
                <w:b/>
                <w:bCs/>
              </w:rPr>
              <w:t>В среднем по РФ</w:t>
            </w:r>
          </w:p>
        </w:tc>
      </w:tr>
      <w:tr w:rsidR="009E45B4" w:rsidRPr="008B6444" w:rsidTr="008B2B08">
        <w:trPr>
          <w:trHeight w:val="145"/>
          <w:jc w:val="center"/>
        </w:trPr>
        <w:tc>
          <w:tcPr>
            <w:tcW w:w="5838" w:type="dxa"/>
            <w:shd w:val="clear" w:color="auto" w:fill="FFFFFF" w:themeFill="background1"/>
            <w:vAlign w:val="bottom"/>
          </w:tcPr>
          <w:p w:rsidR="009E45B4" w:rsidRPr="00B31B3D" w:rsidRDefault="009E45B4" w:rsidP="00E81519">
            <w:pPr>
              <w:spacing w:after="0" w:line="240" w:lineRule="auto"/>
              <w:jc w:val="both"/>
              <w:rPr>
                <w:rFonts w:ascii="Times New Roman" w:hAnsi="Times New Roman" w:cs="Times New Roman"/>
              </w:rPr>
            </w:pPr>
            <w:r w:rsidRPr="00B31B3D">
              <w:rPr>
                <w:rFonts w:ascii="Times New Roman" w:hAnsi="Times New Roman" w:cs="Times New Roman"/>
              </w:rPr>
              <w:t>Менее 3% от выручки</w:t>
            </w:r>
          </w:p>
        </w:tc>
        <w:tc>
          <w:tcPr>
            <w:tcW w:w="3625" w:type="dxa"/>
            <w:shd w:val="clear" w:color="auto" w:fill="FFFFFF" w:themeFill="background1"/>
            <w:vAlign w:val="bottom"/>
          </w:tcPr>
          <w:p w:rsidR="009E45B4" w:rsidRPr="00B31B3D" w:rsidRDefault="009E45B4" w:rsidP="00E81519">
            <w:pPr>
              <w:spacing w:after="0" w:line="240" w:lineRule="auto"/>
              <w:jc w:val="center"/>
              <w:rPr>
                <w:rFonts w:ascii="Times New Roman" w:hAnsi="Times New Roman" w:cs="Times New Roman"/>
              </w:rPr>
            </w:pPr>
            <w:r w:rsidRPr="00B31B3D">
              <w:rPr>
                <w:rFonts w:ascii="Times New Roman" w:hAnsi="Times New Roman" w:cs="Times New Roman"/>
              </w:rPr>
              <w:t>0</w:t>
            </w:r>
          </w:p>
        </w:tc>
      </w:tr>
      <w:tr w:rsidR="009E45B4" w:rsidRPr="008B6444" w:rsidTr="00B31B3D">
        <w:trPr>
          <w:jc w:val="center"/>
        </w:trPr>
        <w:tc>
          <w:tcPr>
            <w:tcW w:w="5838" w:type="dxa"/>
            <w:shd w:val="clear" w:color="auto" w:fill="FFFFFF" w:themeFill="background1"/>
            <w:vAlign w:val="bottom"/>
          </w:tcPr>
          <w:p w:rsidR="009E45B4" w:rsidRPr="00B31B3D" w:rsidRDefault="009E45B4" w:rsidP="00E81519">
            <w:pPr>
              <w:spacing w:after="0" w:line="240" w:lineRule="auto"/>
              <w:jc w:val="both"/>
              <w:rPr>
                <w:rFonts w:ascii="Times New Roman" w:hAnsi="Times New Roman" w:cs="Times New Roman"/>
              </w:rPr>
            </w:pPr>
            <w:r w:rsidRPr="00B31B3D">
              <w:rPr>
                <w:rFonts w:ascii="Times New Roman" w:hAnsi="Times New Roman" w:cs="Times New Roman"/>
              </w:rPr>
              <w:t>От 3 до 5%</w:t>
            </w:r>
          </w:p>
        </w:tc>
        <w:tc>
          <w:tcPr>
            <w:tcW w:w="3625" w:type="dxa"/>
            <w:shd w:val="clear" w:color="auto" w:fill="FFFFFF" w:themeFill="background1"/>
            <w:vAlign w:val="bottom"/>
          </w:tcPr>
          <w:p w:rsidR="009E45B4" w:rsidRPr="00B31B3D" w:rsidRDefault="009E45B4" w:rsidP="00E81519">
            <w:pPr>
              <w:spacing w:after="0" w:line="240" w:lineRule="auto"/>
              <w:jc w:val="center"/>
              <w:rPr>
                <w:rFonts w:ascii="Times New Roman" w:hAnsi="Times New Roman" w:cs="Times New Roman"/>
              </w:rPr>
            </w:pPr>
            <w:r w:rsidRPr="00B31B3D">
              <w:rPr>
                <w:rFonts w:ascii="Times New Roman" w:hAnsi="Times New Roman" w:cs="Times New Roman"/>
              </w:rPr>
              <w:t>4,2</w:t>
            </w:r>
          </w:p>
        </w:tc>
      </w:tr>
      <w:tr w:rsidR="009E45B4" w:rsidRPr="008B6444" w:rsidTr="00B31B3D">
        <w:trPr>
          <w:jc w:val="center"/>
        </w:trPr>
        <w:tc>
          <w:tcPr>
            <w:tcW w:w="5838" w:type="dxa"/>
            <w:tcBorders>
              <w:bottom w:val="single" w:sz="4" w:space="0" w:color="000000"/>
            </w:tcBorders>
            <w:shd w:val="clear" w:color="auto" w:fill="FFFFFF" w:themeFill="background1"/>
            <w:vAlign w:val="bottom"/>
          </w:tcPr>
          <w:p w:rsidR="009E45B4" w:rsidRPr="00B31B3D" w:rsidRDefault="009E45B4" w:rsidP="00E81519">
            <w:pPr>
              <w:spacing w:after="0" w:line="240" w:lineRule="auto"/>
              <w:jc w:val="both"/>
              <w:rPr>
                <w:rFonts w:ascii="Times New Roman" w:hAnsi="Times New Roman" w:cs="Times New Roman"/>
              </w:rPr>
            </w:pPr>
            <w:r w:rsidRPr="00B31B3D">
              <w:rPr>
                <w:rFonts w:ascii="Times New Roman" w:hAnsi="Times New Roman" w:cs="Times New Roman"/>
              </w:rPr>
              <w:t>От 5 до 10%</w:t>
            </w:r>
          </w:p>
        </w:tc>
        <w:tc>
          <w:tcPr>
            <w:tcW w:w="3625" w:type="dxa"/>
            <w:tcBorders>
              <w:bottom w:val="single" w:sz="4" w:space="0" w:color="000000"/>
            </w:tcBorders>
            <w:shd w:val="clear" w:color="auto" w:fill="FFFFFF" w:themeFill="background1"/>
            <w:vAlign w:val="bottom"/>
          </w:tcPr>
          <w:p w:rsidR="009E45B4" w:rsidRPr="00B31B3D" w:rsidRDefault="009E45B4" w:rsidP="00E81519">
            <w:pPr>
              <w:spacing w:after="0" w:line="240" w:lineRule="auto"/>
              <w:jc w:val="center"/>
              <w:rPr>
                <w:rFonts w:ascii="Times New Roman" w:hAnsi="Times New Roman" w:cs="Times New Roman"/>
              </w:rPr>
            </w:pPr>
            <w:r w:rsidRPr="00B31B3D">
              <w:rPr>
                <w:rFonts w:ascii="Times New Roman" w:hAnsi="Times New Roman" w:cs="Times New Roman"/>
              </w:rPr>
              <w:t>10,4</w:t>
            </w:r>
          </w:p>
        </w:tc>
      </w:tr>
      <w:tr w:rsidR="009E45B4" w:rsidRPr="008B6444" w:rsidTr="00B31B3D">
        <w:trPr>
          <w:jc w:val="center"/>
        </w:trPr>
        <w:tc>
          <w:tcPr>
            <w:tcW w:w="5838" w:type="dxa"/>
            <w:tcBorders>
              <w:bottom w:val="single" w:sz="4" w:space="0" w:color="000000"/>
            </w:tcBorders>
            <w:shd w:val="clear" w:color="auto" w:fill="FFFFFF" w:themeFill="background1"/>
            <w:vAlign w:val="bottom"/>
          </w:tcPr>
          <w:p w:rsidR="009E45B4" w:rsidRPr="00B31B3D" w:rsidRDefault="009E45B4" w:rsidP="00E81519">
            <w:pPr>
              <w:spacing w:after="0" w:line="240" w:lineRule="auto"/>
              <w:jc w:val="both"/>
              <w:rPr>
                <w:rFonts w:ascii="Times New Roman" w:hAnsi="Times New Roman" w:cs="Times New Roman"/>
              </w:rPr>
            </w:pPr>
            <w:r w:rsidRPr="00B31B3D">
              <w:rPr>
                <w:rFonts w:ascii="Times New Roman" w:hAnsi="Times New Roman" w:cs="Times New Roman"/>
              </w:rPr>
              <w:t>От 10 до 20%</w:t>
            </w:r>
          </w:p>
        </w:tc>
        <w:tc>
          <w:tcPr>
            <w:tcW w:w="3625" w:type="dxa"/>
            <w:tcBorders>
              <w:bottom w:val="single" w:sz="4" w:space="0" w:color="000000"/>
            </w:tcBorders>
            <w:shd w:val="clear" w:color="auto" w:fill="FFFFFF" w:themeFill="background1"/>
            <w:vAlign w:val="bottom"/>
          </w:tcPr>
          <w:p w:rsidR="009E45B4" w:rsidRPr="00B31B3D" w:rsidRDefault="009E45B4" w:rsidP="00E81519">
            <w:pPr>
              <w:spacing w:after="0" w:line="240" w:lineRule="auto"/>
              <w:jc w:val="center"/>
              <w:rPr>
                <w:rFonts w:ascii="Times New Roman" w:hAnsi="Times New Roman" w:cs="Times New Roman"/>
              </w:rPr>
            </w:pPr>
            <w:r w:rsidRPr="00B31B3D">
              <w:rPr>
                <w:rFonts w:ascii="Times New Roman" w:hAnsi="Times New Roman" w:cs="Times New Roman"/>
              </w:rPr>
              <w:t>33,4</w:t>
            </w:r>
          </w:p>
        </w:tc>
      </w:tr>
      <w:tr w:rsidR="009E45B4" w:rsidRPr="008B6444" w:rsidTr="00B31B3D">
        <w:trPr>
          <w:jc w:val="center"/>
        </w:trPr>
        <w:tc>
          <w:tcPr>
            <w:tcW w:w="5838" w:type="dxa"/>
            <w:shd w:val="clear" w:color="auto" w:fill="FFFFFF" w:themeFill="background1"/>
            <w:vAlign w:val="bottom"/>
          </w:tcPr>
          <w:p w:rsidR="009E45B4" w:rsidRPr="00B31B3D" w:rsidRDefault="009E45B4" w:rsidP="00E81519">
            <w:pPr>
              <w:spacing w:after="0" w:line="240" w:lineRule="auto"/>
              <w:jc w:val="both"/>
              <w:rPr>
                <w:rFonts w:ascii="Times New Roman" w:hAnsi="Times New Roman" w:cs="Times New Roman"/>
              </w:rPr>
            </w:pPr>
            <w:r w:rsidRPr="00B31B3D">
              <w:rPr>
                <w:rFonts w:ascii="Times New Roman" w:hAnsi="Times New Roman" w:cs="Times New Roman"/>
              </w:rPr>
              <w:t>Более 20%</w:t>
            </w:r>
          </w:p>
        </w:tc>
        <w:tc>
          <w:tcPr>
            <w:tcW w:w="3625" w:type="dxa"/>
            <w:shd w:val="clear" w:color="auto" w:fill="FFFFFF" w:themeFill="background1"/>
            <w:vAlign w:val="bottom"/>
          </w:tcPr>
          <w:p w:rsidR="009E45B4" w:rsidRPr="00B31B3D" w:rsidRDefault="009E45B4" w:rsidP="00E81519">
            <w:pPr>
              <w:spacing w:after="0" w:line="240" w:lineRule="auto"/>
              <w:jc w:val="center"/>
              <w:rPr>
                <w:rFonts w:ascii="Times New Roman" w:hAnsi="Times New Roman" w:cs="Times New Roman"/>
              </w:rPr>
            </w:pPr>
            <w:r w:rsidRPr="00B31B3D">
              <w:rPr>
                <w:rFonts w:ascii="Times New Roman" w:hAnsi="Times New Roman" w:cs="Times New Roman"/>
              </w:rPr>
              <w:t>52,0</w:t>
            </w:r>
          </w:p>
        </w:tc>
      </w:tr>
      <w:tr w:rsidR="009E45B4" w:rsidRPr="00466D2D" w:rsidTr="00B31B3D">
        <w:trPr>
          <w:jc w:val="center"/>
        </w:trPr>
        <w:tc>
          <w:tcPr>
            <w:tcW w:w="5838" w:type="dxa"/>
            <w:shd w:val="clear" w:color="auto" w:fill="FFFFFF" w:themeFill="background1"/>
          </w:tcPr>
          <w:p w:rsidR="009E45B4" w:rsidRPr="00B31B3D" w:rsidRDefault="009E45B4" w:rsidP="00CA530E">
            <w:pPr>
              <w:spacing w:line="235" w:lineRule="auto"/>
              <w:jc w:val="right"/>
              <w:rPr>
                <w:rFonts w:ascii="Times New Roman" w:hAnsi="Times New Roman" w:cs="Times New Roman"/>
                <w:b/>
              </w:rPr>
            </w:pPr>
            <w:r w:rsidRPr="00B31B3D">
              <w:rPr>
                <w:rFonts w:ascii="Times New Roman" w:hAnsi="Times New Roman" w:cs="Times New Roman"/>
                <w:b/>
              </w:rPr>
              <w:t>Итого:</w:t>
            </w:r>
          </w:p>
        </w:tc>
        <w:tc>
          <w:tcPr>
            <w:tcW w:w="3625" w:type="dxa"/>
            <w:shd w:val="clear" w:color="auto" w:fill="FFFFFF" w:themeFill="background1"/>
          </w:tcPr>
          <w:p w:rsidR="009E45B4" w:rsidRPr="00B31B3D" w:rsidRDefault="009E45B4" w:rsidP="00CA530E">
            <w:pPr>
              <w:spacing w:line="235" w:lineRule="auto"/>
              <w:jc w:val="center"/>
              <w:rPr>
                <w:rFonts w:ascii="Times New Roman" w:hAnsi="Times New Roman" w:cs="Times New Roman"/>
                <w:b/>
              </w:rPr>
            </w:pPr>
            <w:r w:rsidRPr="00B31B3D">
              <w:rPr>
                <w:rFonts w:ascii="Times New Roman" w:hAnsi="Times New Roman" w:cs="Times New Roman"/>
                <w:b/>
              </w:rPr>
              <w:t>100,0</w:t>
            </w:r>
          </w:p>
        </w:tc>
      </w:tr>
    </w:tbl>
    <w:p w:rsidR="008B2B08" w:rsidRDefault="008B2B08" w:rsidP="00E81519">
      <w:pPr>
        <w:spacing w:after="0" w:line="360" w:lineRule="auto"/>
        <w:jc w:val="both"/>
        <w:rPr>
          <w:rFonts w:ascii="Times New Roman" w:hAnsi="Times New Roman" w:cs="Times New Roman"/>
          <w:sz w:val="28"/>
          <w:szCs w:val="28"/>
        </w:rPr>
      </w:pPr>
      <w:r>
        <w:rPr>
          <w:noProof/>
          <w:lang w:eastAsia="ru-RU"/>
        </w:rPr>
        <w:drawing>
          <wp:inline distT="0" distB="0" distL="0" distR="0" wp14:anchorId="5DFCC34D" wp14:editId="7645ADCF">
            <wp:extent cx="5905500" cy="2393950"/>
            <wp:effectExtent l="0" t="0" r="0"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02837" w:rsidRDefault="00502837"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результатам опроса, количество запрошенных дополнительных документов у предприятий в год составила 1,1 шт. в год.</w:t>
      </w:r>
    </w:p>
    <w:p w:rsidR="00502837" w:rsidRDefault="00502837" w:rsidP="00EF2EFC">
      <w:pPr>
        <w:spacing w:after="0" w:line="360" w:lineRule="auto"/>
        <w:ind w:firstLine="709"/>
        <w:jc w:val="both"/>
        <w:rPr>
          <w:rFonts w:ascii="Times New Roman" w:hAnsi="Times New Roman" w:cs="Times New Roman"/>
          <w:sz w:val="28"/>
          <w:szCs w:val="28"/>
        </w:rPr>
      </w:pPr>
      <w:r w:rsidRPr="00DD3D99">
        <w:rPr>
          <w:rFonts w:ascii="Times New Roman" w:hAnsi="Times New Roman" w:cs="Times New Roman"/>
          <w:sz w:val="28"/>
          <w:szCs w:val="28"/>
        </w:rPr>
        <w:t>По словам опрошенных, более чем у</w:t>
      </w:r>
      <w:r>
        <w:rPr>
          <w:rFonts w:ascii="Times New Roman" w:hAnsi="Times New Roman" w:cs="Times New Roman"/>
          <w:sz w:val="28"/>
          <w:szCs w:val="28"/>
        </w:rPr>
        <w:t xml:space="preserve"> </w:t>
      </w:r>
      <w:r w:rsidRPr="00DD3D99">
        <w:rPr>
          <w:rFonts w:ascii="Times New Roman" w:hAnsi="Times New Roman" w:cs="Times New Roman"/>
          <w:sz w:val="28"/>
          <w:szCs w:val="28"/>
        </w:rPr>
        <w:t xml:space="preserve">50% </w:t>
      </w:r>
      <w:r>
        <w:rPr>
          <w:rFonts w:ascii="Times New Roman" w:hAnsi="Times New Roman" w:cs="Times New Roman"/>
          <w:sz w:val="28"/>
          <w:szCs w:val="28"/>
        </w:rPr>
        <w:t>предпринимателей Республики Алтай за 2015</w:t>
      </w:r>
      <w:r w:rsidRPr="00DD3D99">
        <w:rPr>
          <w:rFonts w:ascii="Times New Roman" w:hAnsi="Times New Roman" w:cs="Times New Roman"/>
          <w:sz w:val="28"/>
          <w:szCs w:val="28"/>
        </w:rPr>
        <w:t xml:space="preserve"> год не было проверок. Следует отметить, что 40% респондентов заявили</w:t>
      </w:r>
      <w:r>
        <w:rPr>
          <w:rFonts w:ascii="Times New Roman" w:hAnsi="Times New Roman" w:cs="Times New Roman"/>
          <w:sz w:val="28"/>
          <w:szCs w:val="28"/>
        </w:rPr>
        <w:t xml:space="preserve"> </w:t>
      </w:r>
      <w:r w:rsidRPr="00DD3D99">
        <w:rPr>
          <w:rFonts w:ascii="Times New Roman" w:hAnsi="Times New Roman" w:cs="Times New Roman"/>
          <w:sz w:val="28"/>
          <w:szCs w:val="28"/>
        </w:rPr>
        <w:t>о проходивших проверках от 1 до 3 раз. </w:t>
      </w:r>
      <w:r>
        <w:rPr>
          <w:rFonts w:ascii="Times New Roman" w:hAnsi="Times New Roman" w:cs="Times New Roman"/>
          <w:sz w:val="28"/>
          <w:szCs w:val="28"/>
        </w:rPr>
        <w:t>Среднее количество проверок в год 1,4 шт. в год.</w:t>
      </w:r>
    </w:p>
    <w:p w:rsidR="00502837" w:rsidRDefault="00502837" w:rsidP="00EF2EFC">
      <w:pPr>
        <w:spacing w:after="0" w:line="360" w:lineRule="auto"/>
        <w:ind w:firstLine="709"/>
        <w:jc w:val="both"/>
        <w:rPr>
          <w:rFonts w:ascii="Times New Roman" w:hAnsi="Times New Roman" w:cs="Times New Roman"/>
          <w:sz w:val="28"/>
          <w:szCs w:val="28"/>
        </w:rPr>
      </w:pPr>
      <w:r w:rsidRPr="00DD3D99">
        <w:rPr>
          <w:rFonts w:ascii="Times New Roman" w:hAnsi="Times New Roman" w:cs="Times New Roman"/>
          <w:sz w:val="28"/>
          <w:szCs w:val="28"/>
        </w:rPr>
        <w:t xml:space="preserve">По мнению бизнесменов Республики Алтай, для ведения предпринимательской деятельности </w:t>
      </w:r>
      <w:r w:rsidRPr="00DD3D99">
        <w:rPr>
          <w:rFonts w:ascii="Times New Roman" w:hAnsi="Times New Roman" w:cs="Times New Roman"/>
          <w:i/>
          <w:sz w:val="28"/>
          <w:szCs w:val="28"/>
        </w:rPr>
        <w:t>максимальные административные барьеры</w:t>
      </w:r>
      <w:r w:rsidRPr="00DD3D99">
        <w:rPr>
          <w:rFonts w:ascii="Times New Roman" w:hAnsi="Times New Roman" w:cs="Times New Roman"/>
          <w:sz w:val="28"/>
          <w:szCs w:val="28"/>
        </w:rPr>
        <w:t xml:space="preserve"> им создали такие ведомства, как Ф</w:t>
      </w:r>
      <w:r w:rsidR="00F07A8F">
        <w:rPr>
          <w:rFonts w:ascii="Times New Roman" w:hAnsi="Times New Roman" w:cs="Times New Roman"/>
          <w:sz w:val="28"/>
          <w:szCs w:val="28"/>
        </w:rPr>
        <w:t xml:space="preserve">едеральная налоговая служба </w:t>
      </w:r>
      <w:r w:rsidRPr="00DD3D99">
        <w:rPr>
          <w:rFonts w:ascii="Times New Roman" w:hAnsi="Times New Roman" w:cs="Times New Roman"/>
          <w:sz w:val="28"/>
          <w:szCs w:val="28"/>
        </w:rPr>
        <w:t>России</w:t>
      </w:r>
      <w:r>
        <w:rPr>
          <w:rFonts w:ascii="Times New Roman" w:hAnsi="Times New Roman" w:cs="Times New Roman"/>
          <w:sz w:val="28"/>
          <w:szCs w:val="28"/>
        </w:rPr>
        <w:t xml:space="preserve"> </w:t>
      </w:r>
      <w:r w:rsidRPr="00DD3D99">
        <w:rPr>
          <w:rFonts w:ascii="Times New Roman" w:hAnsi="Times New Roman" w:cs="Times New Roman"/>
          <w:sz w:val="28"/>
          <w:szCs w:val="28"/>
        </w:rPr>
        <w:t>(38%</w:t>
      </w:r>
      <w:r>
        <w:rPr>
          <w:rFonts w:ascii="Times New Roman" w:hAnsi="Times New Roman" w:cs="Times New Roman"/>
          <w:sz w:val="28"/>
          <w:szCs w:val="28"/>
        </w:rPr>
        <w:t xml:space="preserve"> </w:t>
      </w:r>
      <w:r w:rsidRPr="00DD3D99">
        <w:rPr>
          <w:rFonts w:ascii="Times New Roman" w:hAnsi="Times New Roman" w:cs="Times New Roman"/>
          <w:sz w:val="28"/>
          <w:szCs w:val="28"/>
        </w:rPr>
        <w:t xml:space="preserve">опрошенных), Роспотребнадзор (32%) и МЧС России (22%). </w:t>
      </w:r>
    </w:p>
    <w:p w:rsidR="004F39C4" w:rsidRPr="004F39C4" w:rsidRDefault="004F39C4" w:rsidP="004F39C4">
      <w:pPr>
        <w:spacing w:after="0" w:line="360" w:lineRule="auto"/>
        <w:ind w:firstLine="709"/>
        <w:jc w:val="both"/>
        <w:rPr>
          <w:rFonts w:ascii="Times New Roman" w:hAnsi="Times New Roman" w:cs="Times New Roman"/>
          <w:sz w:val="28"/>
          <w:szCs w:val="28"/>
        </w:rPr>
      </w:pPr>
      <w:r w:rsidRPr="004F39C4">
        <w:rPr>
          <w:rFonts w:ascii="Times New Roman" w:hAnsi="Times New Roman" w:cs="Times New Roman"/>
          <w:sz w:val="28"/>
          <w:szCs w:val="28"/>
        </w:rPr>
        <w:t>Также проведен выборочный опрос представит</w:t>
      </w:r>
      <w:r w:rsidR="00714A35">
        <w:rPr>
          <w:rFonts w:ascii="Times New Roman" w:hAnsi="Times New Roman" w:cs="Times New Roman"/>
          <w:sz w:val="28"/>
          <w:szCs w:val="28"/>
        </w:rPr>
        <w:t xml:space="preserve">елей бизнеса по показателю </w:t>
      </w:r>
      <w:r w:rsidRPr="004F39C4">
        <w:rPr>
          <w:rFonts w:ascii="Times New Roman" w:hAnsi="Times New Roman" w:cs="Times New Roman"/>
          <w:sz w:val="28"/>
          <w:szCs w:val="28"/>
        </w:rPr>
        <w:t>– доля компаний, столкнувшихся со случаями коррупции со стороны органов власти.</w:t>
      </w:r>
    </w:p>
    <w:p w:rsidR="004F39C4" w:rsidRPr="004F39C4" w:rsidRDefault="004F39C4" w:rsidP="004F39C4">
      <w:pPr>
        <w:spacing w:after="0" w:line="360" w:lineRule="auto"/>
        <w:ind w:firstLine="709"/>
        <w:jc w:val="both"/>
        <w:rPr>
          <w:rFonts w:ascii="Times New Roman" w:hAnsi="Times New Roman" w:cs="Times New Roman"/>
          <w:sz w:val="28"/>
          <w:szCs w:val="28"/>
        </w:rPr>
      </w:pPr>
      <w:r w:rsidRPr="004F39C4">
        <w:rPr>
          <w:rFonts w:ascii="Times New Roman" w:hAnsi="Times New Roman" w:cs="Times New Roman"/>
          <w:sz w:val="28"/>
          <w:szCs w:val="28"/>
        </w:rPr>
        <w:t xml:space="preserve">- На вопрос: «Сталкивались ли Вы с коррупцией?» </w:t>
      </w:r>
    </w:p>
    <w:p w:rsidR="004F39C4" w:rsidRPr="004F39C4" w:rsidRDefault="004F39C4" w:rsidP="004F39C4">
      <w:pPr>
        <w:spacing w:after="0" w:line="360" w:lineRule="auto"/>
        <w:ind w:firstLine="709"/>
        <w:jc w:val="both"/>
        <w:rPr>
          <w:rFonts w:ascii="Times New Roman" w:hAnsi="Times New Roman" w:cs="Times New Roman"/>
          <w:sz w:val="28"/>
          <w:szCs w:val="28"/>
        </w:rPr>
      </w:pPr>
      <w:r w:rsidRPr="004F39C4">
        <w:rPr>
          <w:rFonts w:ascii="Times New Roman" w:hAnsi="Times New Roman" w:cs="Times New Roman"/>
          <w:sz w:val="28"/>
          <w:szCs w:val="28"/>
        </w:rPr>
        <w:t>- Ответили: да-24 (30%), нет – 33 (41,5%), затрудняюсь ответить – 23(28,75%).</w:t>
      </w:r>
    </w:p>
    <w:p w:rsidR="00502837" w:rsidRDefault="00502837" w:rsidP="00EF2EF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Ежеквартальный анализ </w:t>
      </w:r>
      <w:r w:rsidRPr="003351C6">
        <w:rPr>
          <w:rFonts w:ascii="Times New Roman" w:hAnsi="Times New Roman" w:cs="Times New Roman"/>
          <w:sz w:val="28"/>
          <w:szCs w:val="28"/>
        </w:rPr>
        <w:t>поступивших обращений от субъектов предпринимательской деятельности Республики Алтай</w:t>
      </w:r>
      <w:r>
        <w:rPr>
          <w:rFonts w:ascii="Times New Roman" w:hAnsi="Times New Roman" w:cs="Times New Roman"/>
          <w:sz w:val="28"/>
          <w:szCs w:val="28"/>
        </w:rPr>
        <w:t xml:space="preserve">. </w:t>
      </w:r>
    </w:p>
    <w:p w:rsidR="005D0723" w:rsidRDefault="005D0723" w:rsidP="005D0723">
      <w:pPr>
        <w:spacing w:after="0" w:line="360" w:lineRule="auto"/>
        <w:ind w:firstLine="709"/>
        <w:jc w:val="both"/>
        <w:rPr>
          <w:rFonts w:ascii="Times New Roman" w:eastAsia="Calibri" w:hAnsi="Times New Roman" w:cs="Times New Roman"/>
          <w:sz w:val="28"/>
          <w:szCs w:val="28"/>
        </w:rPr>
      </w:pPr>
      <w:r w:rsidRPr="00CA7A66">
        <w:rPr>
          <w:rFonts w:ascii="Times New Roman" w:eastAsia="Calibri" w:hAnsi="Times New Roman" w:cs="Times New Roman"/>
          <w:sz w:val="28"/>
          <w:szCs w:val="28"/>
        </w:rPr>
        <w:t>В течение 201</w:t>
      </w:r>
      <w:r>
        <w:rPr>
          <w:rFonts w:ascii="Times New Roman" w:eastAsia="Calibri" w:hAnsi="Times New Roman" w:cs="Times New Roman"/>
          <w:sz w:val="28"/>
          <w:szCs w:val="28"/>
        </w:rPr>
        <w:t>5</w:t>
      </w:r>
      <w:r w:rsidRPr="00CA7A66">
        <w:rPr>
          <w:rFonts w:ascii="Times New Roman" w:eastAsia="Calibri" w:hAnsi="Times New Roman" w:cs="Times New Roman"/>
          <w:sz w:val="28"/>
          <w:szCs w:val="28"/>
        </w:rPr>
        <w:t xml:space="preserve"> года в адрес Уполномоченного поступило 1</w:t>
      </w:r>
      <w:r>
        <w:rPr>
          <w:rFonts w:ascii="Times New Roman" w:eastAsia="Calibri" w:hAnsi="Times New Roman" w:cs="Times New Roman"/>
          <w:sz w:val="28"/>
          <w:szCs w:val="28"/>
        </w:rPr>
        <w:t>97</w:t>
      </w:r>
      <w:r w:rsidRPr="00CA7A66">
        <w:rPr>
          <w:rFonts w:ascii="Times New Roman" w:eastAsia="Calibri" w:hAnsi="Times New Roman" w:cs="Times New Roman"/>
          <w:sz w:val="28"/>
          <w:szCs w:val="28"/>
        </w:rPr>
        <w:t xml:space="preserve"> обращени</w:t>
      </w:r>
      <w:r>
        <w:rPr>
          <w:rFonts w:ascii="Times New Roman" w:eastAsia="Calibri" w:hAnsi="Times New Roman" w:cs="Times New Roman"/>
          <w:sz w:val="28"/>
          <w:szCs w:val="28"/>
        </w:rPr>
        <w:t>й</w:t>
      </w:r>
      <w:r w:rsidRPr="00CA7A66">
        <w:rPr>
          <w:rFonts w:ascii="Times New Roman" w:eastAsia="Calibri" w:hAnsi="Times New Roman" w:cs="Times New Roman"/>
          <w:sz w:val="28"/>
          <w:szCs w:val="28"/>
        </w:rPr>
        <w:t xml:space="preserve"> от субъектов предпринимательской деятельности</w:t>
      </w:r>
      <w:r>
        <w:rPr>
          <w:rFonts w:ascii="Times New Roman" w:eastAsia="Calibri" w:hAnsi="Times New Roman" w:cs="Times New Roman"/>
          <w:sz w:val="28"/>
          <w:szCs w:val="28"/>
        </w:rPr>
        <w:t>. По сравнению с 2014 годом количество обращений увеличилось на 17 обращений</w:t>
      </w:r>
      <w:r w:rsidRPr="0078413A">
        <w:rPr>
          <w:rFonts w:ascii="Times New Roman" w:eastAsia="Calibri" w:hAnsi="Times New Roman" w:cs="Times New Roman"/>
          <w:sz w:val="28"/>
          <w:szCs w:val="28"/>
        </w:rPr>
        <w:t xml:space="preserve">. </w:t>
      </w:r>
    </w:p>
    <w:p w:rsidR="00091DB0" w:rsidRDefault="00091DB0" w:rsidP="005D0723">
      <w:pPr>
        <w:spacing w:after="0" w:line="240" w:lineRule="auto"/>
        <w:jc w:val="center"/>
        <w:rPr>
          <w:rFonts w:ascii="Times New Roman" w:eastAsia="Calibri" w:hAnsi="Times New Roman" w:cs="Times New Roman"/>
          <w:sz w:val="28"/>
          <w:szCs w:val="28"/>
        </w:rPr>
      </w:pPr>
    </w:p>
    <w:p w:rsidR="005D0723" w:rsidRPr="00091DB0" w:rsidRDefault="005D0723" w:rsidP="005D0723">
      <w:pPr>
        <w:spacing w:after="0" w:line="240" w:lineRule="auto"/>
        <w:jc w:val="center"/>
        <w:rPr>
          <w:rFonts w:ascii="Times New Roman" w:eastAsia="Calibri" w:hAnsi="Times New Roman" w:cs="Times New Roman"/>
          <w:b/>
          <w:sz w:val="28"/>
          <w:szCs w:val="28"/>
        </w:rPr>
      </w:pPr>
      <w:r w:rsidRPr="00091DB0">
        <w:rPr>
          <w:rFonts w:ascii="Times New Roman" w:eastAsia="Calibri" w:hAnsi="Times New Roman" w:cs="Times New Roman"/>
          <w:b/>
          <w:sz w:val="28"/>
          <w:szCs w:val="28"/>
        </w:rPr>
        <w:t>Анализ обращений по субъекту правового регулирования в 2014-2015 гг.</w:t>
      </w:r>
    </w:p>
    <w:p w:rsidR="005D0723" w:rsidRPr="00B6021C" w:rsidRDefault="005D0723" w:rsidP="005D0723">
      <w:pPr>
        <w:spacing w:after="0" w:line="240" w:lineRule="auto"/>
        <w:jc w:val="right"/>
        <w:rPr>
          <w:rFonts w:ascii="Times New Roman" w:eastAsia="Calibri" w:hAnsi="Times New Roman" w:cs="Times New Roman"/>
          <w:b/>
          <w:sz w:val="24"/>
          <w:szCs w:val="28"/>
        </w:rPr>
      </w:pPr>
      <w:r w:rsidRPr="00B6021C">
        <w:rPr>
          <w:rFonts w:ascii="Times New Roman" w:eastAsia="Calibri" w:hAnsi="Times New Roman" w:cs="Times New Roman"/>
          <w:b/>
          <w:sz w:val="24"/>
          <w:szCs w:val="28"/>
        </w:rPr>
        <w:t>Таблица 2.</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3"/>
        <w:gridCol w:w="709"/>
        <w:gridCol w:w="850"/>
        <w:gridCol w:w="851"/>
        <w:gridCol w:w="850"/>
        <w:gridCol w:w="709"/>
        <w:gridCol w:w="850"/>
        <w:gridCol w:w="993"/>
        <w:gridCol w:w="2230"/>
      </w:tblGrid>
      <w:tr w:rsidR="005D0723" w:rsidRPr="00CA7A66" w:rsidTr="00DA0350">
        <w:trPr>
          <w:trHeight w:val="383"/>
          <w:jc w:val="center"/>
        </w:trPr>
        <w:tc>
          <w:tcPr>
            <w:tcW w:w="1523" w:type="dxa"/>
            <w:vMerge w:val="restart"/>
            <w:shd w:val="clear" w:color="auto" w:fill="ACB9CA" w:themeFill="text2" w:themeFillTint="66"/>
          </w:tcPr>
          <w:p w:rsidR="005D0723" w:rsidRPr="005C3ADC" w:rsidRDefault="005D0723" w:rsidP="00DA0350">
            <w:pPr>
              <w:spacing w:after="0" w:line="240" w:lineRule="auto"/>
              <w:jc w:val="center"/>
              <w:rPr>
                <w:rFonts w:ascii="Times New Roman" w:eastAsia="Calibri" w:hAnsi="Times New Roman" w:cs="Times New Roman"/>
                <w:b/>
                <w:sz w:val="20"/>
                <w:szCs w:val="24"/>
              </w:rPr>
            </w:pPr>
          </w:p>
          <w:p w:rsidR="005D0723" w:rsidRPr="005C3ADC" w:rsidRDefault="005D0723" w:rsidP="00DA0350">
            <w:pPr>
              <w:spacing w:after="0" w:line="240" w:lineRule="auto"/>
              <w:jc w:val="center"/>
              <w:rPr>
                <w:rFonts w:ascii="Times New Roman" w:eastAsia="Calibri" w:hAnsi="Times New Roman" w:cs="Times New Roman"/>
                <w:b/>
                <w:sz w:val="20"/>
                <w:szCs w:val="24"/>
              </w:rPr>
            </w:pPr>
          </w:p>
          <w:p w:rsidR="005D0723" w:rsidRPr="005C3ADC" w:rsidRDefault="005D0723" w:rsidP="00DA0350">
            <w:pPr>
              <w:spacing w:after="0" w:line="240" w:lineRule="auto"/>
              <w:jc w:val="center"/>
              <w:rPr>
                <w:rFonts w:ascii="Times New Roman" w:eastAsia="Calibri" w:hAnsi="Times New Roman" w:cs="Times New Roman"/>
                <w:b/>
                <w:sz w:val="20"/>
                <w:szCs w:val="24"/>
              </w:rPr>
            </w:pPr>
          </w:p>
          <w:p w:rsidR="005D0723" w:rsidRPr="005C3ADC" w:rsidRDefault="005D0723" w:rsidP="00DA0350">
            <w:pPr>
              <w:spacing w:after="0" w:line="240" w:lineRule="auto"/>
              <w:jc w:val="center"/>
              <w:rPr>
                <w:rFonts w:ascii="Times New Roman" w:eastAsia="Calibri" w:hAnsi="Times New Roman" w:cs="Times New Roman"/>
                <w:b/>
                <w:sz w:val="20"/>
                <w:szCs w:val="24"/>
              </w:rPr>
            </w:pPr>
          </w:p>
          <w:p w:rsidR="005D0723" w:rsidRPr="005C3ADC" w:rsidRDefault="005D0723" w:rsidP="00DA0350">
            <w:pPr>
              <w:spacing w:after="0" w:line="240" w:lineRule="auto"/>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Период</w:t>
            </w:r>
          </w:p>
        </w:tc>
        <w:tc>
          <w:tcPr>
            <w:tcW w:w="709" w:type="dxa"/>
            <w:vMerge w:val="restart"/>
            <w:shd w:val="clear" w:color="auto" w:fill="ACB9CA" w:themeFill="text2" w:themeFillTint="66"/>
            <w:textDirection w:val="btLr"/>
          </w:tcPr>
          <w:p w:rsidR="005D0723" w:rsidRPr="005C3ADC" w:rsidRDefault="005D0723" w:rsidP="00DA0350">
            <w:pPr>
              <w:spacing w:after="0" w:line="240" w:lineRule="auto"/>
              <w:ind w:left="113" w:right="113"/>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Всего</w:t>
            </w:r>
          </w:p>
          <w:p w:rsidR="005D0723" w:rsidRPr="005C3ADC" w:rsidRDefault="005D0723" w:rsidP="00DA0350">
            <w:pPr>
              <w:spacing w:after="0" w:line="240" w:lineRule="auto"/>
              <w:ind w:left="113" w:right="113"/>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обращений</w:t>
            </w:r>
          </w:p>
        </w:tc>
        <w:tc>
          <w:tcPr>
            <w:tcW w:w="850" w:type="dxa"/>
            <w:vMerge w:val="restart"/>
            <w:shd w:val="clear" w:color="auto" w:fill="ACB9CA" w:themeFill="text2" w:themeFillTint="66"/>
            <w:textDirection w:val="btLr"/>
          </w:tcPr>
          <w:p w:rsidR="005D0723" w:rsidRPr="005C3ADC" w:rsidRDefault="005D0723" w:rsidP="00DA0350">
            <w:pPr>
              <w:spacing w:after="0" w:line="240" w:lineRule="auto"/>
              <w:ind w:left="113" w:right="113"/>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Письменные обращения</w:t>
            </w:r>
          </w:p>
        </w:tc>
        <w:tc>
          <w:tcPr>
            <w:tcW w:w="851" w:type="dxa"/>
            <w:vMerge w:val="restart"/>
            <w:shd w:val="clear" w:color="auto" w:fill="ACB9CA" w:themeFill="text2" w:themeFillTint="66"/>
            <w:textDirection w:val="btLr"/>
          </w:tcPr>
          <w:p w:rsidR="005D0723" w:rsidRPr="005C3ADC" w:rsidRDefault="005D0723" w:rsidP="00DA0350">
            <w:pPr>
              <w:spacing w:after="0" w:line="240" w:lineRule="auto"/>
              <w:ind w:left="113" w:right="113"/>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Устные</w:t>
            </w:r>
          </w:p>
          <w:p w:rsidR="005D0723" w:rsidRPr="005C3ADC" w:rsidRDefault="005D0723" w:rsidP="00DA0350">
            <w:pPr>
              <w:spacing w:after="0" w:line="240" w:lineRule="auto"/>
              <w:ind w:left="113" w:right="113"/>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обращения</w:t>
            </w:r>
            <w:bookmarkStart w:id="0" w:name="_GoBack"/>
            <w:bookmarkEnd w:id="0"/>
          </w:p>
        </w:tc>
        <w:tc>
          <w:tcPr>
            <w:tcW w:w="850" w:type="dxa"/>
            <w:vMerge w:val="restart"/>
            <w:shd w:val="clear" w:color="auto" w:fill="ACB9CA" w:themeFill="text2" w:themeFillTint="66"/>
            <w:textDirection w:val="btLr"/>
          </w:tcPr>
          <w:p w:rsidR="005D0723" w:rsidRPr="005C3ADC" w:rsidRDefault="005D0723" w:rsidP="00DA0350">
            <w:pPr>
              <w:spacing w:after="0" w:line="240" w:lineRule="auto"/>
              <w:ind w:left="113" w:right="113"/>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Индивидуальные</w:t>
            </w:r>
          </w:p>
          <w:p w:rsidR="005D0723" w:rsidRPr="005C3ADC" w:rsidRDefault="005D0723" w:rsidP="00DA0350">
            <w:pPr>
              <w:spacing w:after="0" w:line="240" w:lineRule="auto"/>
              <w:ind w:left="113" w:right="113"/>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обращения</w:t>
            </w:r>
          </w:p>
        </w:tc>
        <w:tc>
          <w:tcPr>
            <w:tcW w:w="709" w:type="dxa"/>
            <w:vMerge w:val="restart"/>
            <w:shd w:val="clear" w:color="auto" w:fill="ACB9CA" w:themeFill="text2" w:themeFillTint="66"/>
            <w:textDirection w:val="btLr"/>
          </w:tcPr>
          <w:p w:rsidR="005D0723" w:rsidRPr="005C3ADC" w:rsidRDefault="005D0723" w:rsidP="00DA0350">
            <w:pPr>
              <w:spacing w:after="0" w:line="240" w:lineRule="auto"/>
              <w:ind w:left="113" w:right="113"/>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Коллективные</w:t>
            </w:r>
          </w:p>
          <w:p w:rsidR="005D0723" w:rsidRPr="005C3ADC" w:rsidRDefault="005D0723" w:rsidP="00DA0350">
            <w:pPr>
              <w:spacing w:after="0" w:line="240" w:lineRule="auto"/>
              <w:ind w:left="113" w:right="113"/>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обращения</w:t>
            </w:r>
          </w:p>
        </w:tc>
        <w:tc>
          <w:tcPr>
            <w:tcW w:w="4073" w:type="dxa"/>
            <w:gridSpan w:val="3"/>
            <w:shd w:val="clear" w:color="auto" w:fill="ACB9CA" w:themeFill="text2" w:themeFillTint="66"/>
          </w:tcPr>
          <w:p w:rsidR="005D0723" w:rsidRPr="005C3ADC" w:rsidRDefault="005D0723" w:rsidP="00DA0350">
            <w:pPr>
              <w:spacing w:after="0" w:line="240" w:lineRule="auto"/>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Субъекты обращений</w:t>
            </w:r>
          </w:p>
        </w:tc>
      </w:tr>
      <w:tr w:rsidR="005D0723" w:rsidRPr="00CA7A66" w:rsidTr="00DA0350">
        <w:trPr>
          <w:cantSplit/>
          <w:trHeight w:val="1693"/>
          <w:jc w:val="center"/>
        </w:trPr>
        <w:tc>
          <w:tcPr>
            <w:tcW w:w="1523" w:type="dxa"/>
            <w:vMerge/>
            <w:shd w:val="clear" w:color="auto" w:fill="ACB9CA" w:themeFill="text2" w:themeFillTint="66"/>
          </w:tcPr>
          <w:p w:rsidR="005D0723" w:rsidRPr="005C3ADC" w:rsidRDefault="005D0723" w:rsidP="00DA0350">
            <w:pPr>
              <w:spacing w:after="0" w:line="240" w:lineRule="auto"/>
              <w:jc w:val="both"/>
              <w:rPr>
                <w:rFonts w:ascii="Times New Roman" w:eastAsia="Calibri" w:hAnsi="Times New Roman" w:cs="Times New Roman"/>
                <w:b/>
                <w:sz w:val="20"/>
                <w:szCs w:val="24"/>
              </w:rPr>
            </w:pPr>
          </w:p>
        </w:tc>
        <w:tc>
          <w:tcPr>
            <w:tcW w:w="709" w:type="dxa"/>
            <w:vMerge/>
            <w:shd w:val="clear" w:color="auto" w:fill="ACB9CA" w:themeFill="text2" w:themeFillTint="66"/>
          </w:tcPr>
          <w:p w:rsidR="005D0723" w:rsidRPr="005C3ADC" w:rsidRDefault="005D0723" w:rsidP="00DA0350">
            <w:pPr>
              <w:spacing w:after="0" w:line="240" w:lineRule="auto"/>
              <w:jc w:val="center"/>
              <w:rPr>
                <w:rFonts w:ascii="Times New Roman" w:eastAsia="Calibri" w:hAnsi="Times New Roman" w:cs="Times New Roman"/>
                <w:b/>
                <w:sz w:val="20"/>
                <w:szCs w:val="24"/>
              </w:rPr>
            </w:pPr>
          </w:p>
        </w:tc>
        <w:tc>
          <w:tcPr>
            <w:tcW w:w="850" w:type="dxa"/>
            <w:vMerge/>
            <w:shd w:val="clear" w:color="auto" w:fill="ACB9CA" w:themeFill="text2" w:themeFillTint="66"/>
          </w:tcPr>
          <w:p w:rsidR="005D0723" w:rsidRPr="005C3ADC" w:rsidRDefault="005D0723" w:rsidP="00DA0350">
            <w:pPr>
              <w:spacing w:after="0" w:line="240" w:lineRule="auto"/>
              <w:jc w:val="center"/>
              <w:rPr>
                <w:rFonts w:ascii="Times New Roman" w:eastAsia="Calibri" w:hAnsi="Times New Roman" w:cs="Times New Roman"/>
                <w:b/>
                <w:sz w:val="20"/>
                <w:szCs w:val="24"/>
              </w:rPr>
            </w:pPr>
          </w:p>
        </w:tc>
        <w:tc>
          <w:tcPr>
            <w:tcW w:w="851" w:type="dxa"/>
            <w:vMerge/>
            <w:shd w:val="clear" w:color="auto" w:fill="ACB9CA" w:themeFill="text2" w:themeFillTint="66"/>
          </w:tcPr>
          <w:p w:rsidR="005D0723" w:rsidRPr="005C3ADC" w:rsidRDefault="005D0723" w:rsidP="00DA0350">
            <w:pPr>
              <w:spacing w:after="0" w:line="240" w:lineRule="auto"/>
              <w:jc w:val="center"/>
              <w:rPr>
                <w:rFonts w:ascii="Times New Roman" w:eastAsia="Calibri" w:hAnsi="Times New Roman" w:cs="Times New Roman"/>
                <w:b/>
                <w:sz w:val="20"/>
                <w:szCs w:val="24"/>
              </w:rPr>
            </w:pPr>
          </w:p>
        </w:tc>
        <w:tc>
          <w:tcPr>
            <w:tcW w:w="850" w:type="dxa"/>
            <w:vMerge/>
            <w:shd w:val="clear" w:color="auto" w:fill="ACB9CA" w:themeFill="text2" w:themeFillTint="66"/>
          </w:tcPr>
          <w:p w:rsidR="005D0723" w:rsidRPr="005C3ADC" w:rsidRDefault="005D0723" w:rsidP="00DA0350">
            <w:pPr>
              <w:spacing w:after="0" w:line="240" w:lineRule="auto"/>
              <w:jc w:val="center"/>
              <w:rPr>
                <w:rFonts w:ascii="Times New Roman" w:eastAsia="Calibri" w:hAnsi="Times New Roman" w:cs="Times New Roman"/>
                <w:b/>
                <w:sz w:val="20"/>
                <w:szCs w:val="24"/>
              </w:rPr>
            </w:pPr>
          </w:p>
        </w:tc>
        <w:tc>
          <w:tcPr>
            <w:tcW w:w="709" w:type="dxa"/>
            <w:vMerge/>
            <w:shd w:val="clear" w:color="auto" w:fill="ACB9CA" w:themeFill="text2" w:themeFillTint="66"/>
          </w:tcPr>
          <w:p w:rsidR="005D0723" w:rsidRPr="005C3ADC" w:rsidRDefault="005D0723" w:rsidP="00DA0350">
            <w:pPr>
              <w:spacing w:after="0" w:line="240" w:lineRule="auto"/>
              <w:jc w:val="center"/>
              <w:rPr>
                <w:rFonts w:ascii="Times New Roman" w:eastAsia="Calibri" w:hAnsi="Times New Roman" w:cs="Times New Roman"/>
                <w:b/>
                <w:sz w:val="20"/>
                <w:szCs w:val="24"/>
              </w:rPr>
            </w:pPr>
          </w:p>
        </w:tc>
        <w:tc>
          <w:tcPr>
            <w:tcW w:w="850" w:type="dxa"/>
            <w:shd w:val="clear" w:color="auto" w:fill="ACB9CA" w:themeFill="text2" w:themeFillTint="66"/>
          </w:tcPr>
          <w:p w:rsidR="005D0723" w:rsidRPr="005C3ADC" w:rsidRDefault="005D0723" w:rsidP="00DA0350">
            <w:pPr>
              <w:spacing w:after="0" w:line="240" w:lineRule="auto"/>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ИП</w:t>
            </w:r>
          </w:p>
          <w:p w:rsidR="005D0723" w:rsidRPr="005C3ADC" w:rsidRDefault="005D0723" w:rsidP="00DA0350">
            <w:pPr>
              <w:spacing w:after="0" w:line="240" w:lineRule="auto"/>
              <w:jc w:val="center"/>
              <w:rPr>
                <w:rFonts w:ascii="Times New Roman" w:eastAsia="Calibri" w:hAnsi="Times New Roman" w:cs="Times New Roman"/>
                <w:b/>
                <w:sz w:val="20"/>
                <w:szCs w:val="24"/>
              </w:rPr>
            </w:pPr>
          </w:p>
          <w:p w:rsidR="005D0723" w:rsidRPr="005C3ADC" w:rsidRDefault="005D0723" w:rsidP="00DA0350">
            <w:pPr>
              <w:spacing w:after="0" w:line="240" w:lineRule="auto"/>
              <w:jc w:val="center"/>
              <w:rPr>
                <w:rFonts w:ascii="Times New Roman" w:eastAsia="Calibri" w:hAnsi="Times New Roman" w:cs="Times New Roman"/>
                <w:b/>
                <w:sz w:val="20"/>
                <w:szCs w:val="24"/>
              </w:rPr>
            </w:pPr>
          </w:p>
          <w:p w:rsidR="005D0723" w:rsidRPr="005C3ADC" w:rsidRDefault="005D0723" w:rsidP="00DA0350">
            <w:pPr>
              <w:spacing w:after="0" w:line="240" w:lineRule="auto"/>
              <w:jc w:val="center"/>
              <w:rPr>
                <w:rFonts w:ascii="Times New Roman" w:eastAsia="Calibri" w:hAnsi="Times New Roman" w:cs="Times New Roman"/>
                <w:b/>
                <w:sz w:val="20"/>
                <w:szCs w:val="24"/>
              </w:rPr>
            </w:pPr>
          </w:p>
        </w:tc>
        <w:tc>
          <w:tcPr>
            <w:tcW w:w="993" w:type="dxa"/>
            <w:shd w:val="clear" w:color="auto" w:fill="ACB9CA" w:themeFill="text2" w:themeFillTint="66"/>
          </w:tcPr>
          <w:p w:rsidR="005D0723" w:rsidRPr="005C3ADC" w:rsidRDefault="005D0723" w:rsidP="00DA0350">
            <w:pPr>
              <w:spacing w:after="0" w:line="240" w:lineRule="auto"/>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Юр. лица</w:t>
            </w:r>
          </w:p>
        </w:tc>
        <w:tc>
          <w:tcPr>
            <w:tcW w:w="2230" w:type="dxa"/>
            <w:shd w:val="clear" w:color="auto" w:fill="ACB9CA" w:themeFill="text2" w:themeFillTint="66"/>
          </w:tcPr>
          <w:p w:rsidR="005D0723" w:rsidRPr="005C3ADC" w:rsidRDefault="005D0723" w:rsidP="00DA0350">
            <w:pPr>
              <w:spacing w:after="0" w:line="240" w:lineRule="auto"/>
              <w:jc w:val="center"/>
              <w:rPr>
                <w:rFonts w:ascii="Times New Roman" w:eastAsia="Calibri" w:hAnsi="Times New Roman" w:cs="Times New Roman"/>
                <w:b/>
                <w:sz w:val="20"/>
                <w:szCs w:val="24"/>
              </w:rPr>
            </w:pPr>
            <w:r w:rsidRPr="005C3ADC">
              <w:rPr>
                <w:rFonts w:ascii="Times New Roman" w:eastAsia="Calibri" w:hAnsi="Times New Roman" w:cs="Times New Roman"/>
                <w:b/>
                <w:sz w:val="20"/>
                <w:szCs w:val="24"/>
              </w:rPr>
              <w:t>Общ. орган. предпринимателей</w:t>
            </w:r>
          </w:p>
          <w:p w:rsidR="005D0723" w:rsidRPr="005C3ADC" w:rsidRDefault="005D0723" w:rsidP="00DA0350">
            <w:pPr>
              <w:spacing w:after="0" w:line="240" w:lineRule="auto"/>
              <w:jc w:val="center"/>
              <w:rPr>
                <w:rFonts w:ascii="Times New Roman" w:eastAsia="Calibri" w:hAnsi="Times New Roman" w:cs="Times New Roman"/>
                <w:b/>
                <w:sz w:val="20"/>
                <w:szCs w:val="24"/>
              </w:rPr>
            </w:pPr>
          </w:p>
          <w:p w:rsidR="005D0723" w:rsidRPr="005C3ADC" w:rsidRDefault="005D0723" w:rsidP="00DA0350">
            <w:pPr>
              <w:spacing w:after="0" w:line="240" w:lineRule="auto"/>
              <w:jc w:val="center"/>
              <w:rPr>
                <w:rFonts w:ascii="Times New Roman" w:eastAsia="Calibri" w:hAnsi="Times New Roman" w:cs="Times New Roman"/>
                <w:b/>
                <w:sz w:val="20"/>
                <w:szCs w:val="24"/>
              </w:rPr>
            </w:pPr>
          </w:p>
          <w:p w:rsidR="005D0723" w:rsidRPr="005C3ADC" w:rsidRDefault="005D0723" w:rsidP="00DA0350">
            <w:pPr>
              <w:spacing w:after="0" w:line="240" w:lineRule="auto"/>
              <w:jc w:val="center"/>
              <w:rPr>
                <w:rFonts w:ascii="Times New Roman" w:eastAsia="Calibri" w:hAnsi="Times New Roman" w:cs="Times New Roman"/>
                <w:b/>
                <w:sz w:val="20"/>
                <w:szCs w:val="24"/>
              </w:rPr>
            </w:pPr>
          </w:p>
        </w:tc>
      </w:tr>
      <w:tr w:rsidR="005D0723" w:rsidRPr="00CA7A66" w:rsidTr="00DA0350">
        <w:trPr>
          <w:trHeight w:val="282"/>
          <w:jc w:val="center"/>
        </w:trPr>
        <w:tc>
          <w:tcPr>
            <w:tcW w:w="1523"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2015</w:t>
            </w:r>
            <w:r>
              <w:rPr>
                <w:rFonts w:ascii="Times New Roman" w:eastAsia="Calibri" w:hAnsi="Times New Roman" w:cs="Times New Roman"/>
                <w:b/>
                <w:sz w:val="20"/>
                <w:szCs w:val="24"/>
              </w:rPr>
              <w:t xml:space="preserve"> </w:t>
            </w:r>
            <w:r w:rsidRPr="00F21A31">
              <w:rPr>
                <w:rFonts w:ascii="Times New Roman" w:eastAsia="Calibri" w:hAnsi="Times New Roman" w:cs="Times New Roman"/>
                <w:b/>
                <w:sz w:val="20"/>
                <w:szCs w:val="24"/>
              </w:rPr>
              <w:t>год</w:t>
            </w:r>
          </w:p>
        </w:tc>
        <w:tc>
          <w:tcPr>
            <w:tcW w:w="709"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197</w:t>
            </w:r>
          </w:p>
        </w:tc>
        <w:tc>
          <w:tcPr>
            <w:tcW w:w="850"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56</w:t>
            </w:r>
          </w:p>
        </w:tc>
        <w:tc>
          <w:tcPr>
            <w:tcW w:w="851"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141</w:t>
            </w:r>
          </w:p>
        </w:tc>
        <w:tc>
          <w:tcPr>
            <w:tcW w:w="850"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196</w:t>
            </w:r>
          </w:p>
        </w:tc>
        <w:tc>
          <w:tcPr>
            <w:tcW w:w="709"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1</w:t>
            </w:r>
          </w:p>
        </w:tc>
        <w:tc>
          <w:tcPr>
            <w:tcW w:w="850"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149</w:t>
            </w:r>
          </w:p>
        </w:tc>
        <w:tc>
          <w:tcPr>
            <w:tcW w:w="993"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47</w:t>
            </w:r>
          </w:p>
        </w:tc>
        <w:tc>
          <w:tcPr>
            <w:tcW w:w="2230"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1</w:t>
            </w:r>
          </w:p>
        </w:tc>
      </w:tr>
      <w:tr w:rsidR="005D0723" w:rsidRPr="00CA7A66" w:rsidTr="00DA0350">
        <w:trPr>
          <w:trHeight w:val="298"/>
          <w:jc w:val="center"/>
        </w:trPr>
        <w:tc>
          <w:tcPr>
            <w:tcW w:w="1523"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Доля</w:t>
            </w:r>
          </w:p>
        </w:tc>
        <w:tc>
          <w:tcPr>
            <w:tcW w:w="709"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100%</w:t>
            </w:r>
          </w:p>
        </w:tc>
        <w:tc>
          <w:tcPr>
            <w:tcW w:w="850"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28,4%</w:t>
            </w:r>
          </w:p>
        </w:tc>
        <w:tc>
          <w:tcPr>
            <w:tcW w:w="851"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71,6%</w:t>
            </w:r>
          </w:p>
        </w:tc>
        <w:tc>
          <w:tcPr>
            <w:tcW w:w="850"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99,5%</w:t>
            </w:r>
          </w:p>
        </w:tc>
        <w:tc>
          <w:tcPr>
            <w:tcW w:w="709"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0,5%</w:t>
            </w:r>
          </w:p>
        </w:tc>
        <w:tc>
          <w:tcPr>
            <w:tcW w:w="850"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75,6%</w:t>
            </w:r>
          </w:p>
        </w:tc>
        <w:tc>
          <w:tcPr>
            <w:tcW w:w="993"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23,9%</w:t>
            </w:r>
          </w:p>
        </w:tc>
        <w:tc>
          <w:tcPr>
            <w:tcW w:w="2230"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0,5%</w:t>
            </w:r>
          </w:p>
        </w:tc>
      </w:tr>
      <w:tr w:rsidR="005D0723" w:rsidRPr="00CA7A66" w:rsidTr="00DA0350">
        <w:trPr>
          <w:trHeight w:val="298"/>
          <w:jc w:val="center"/>
        </w:trPr>
        <w:tc>
          <w:tcPr>
            <w:tcW w:w="1523"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2014 год</w:t>
            </w:r>
          </w:p>
        </w:tc>
        <w:tc>
          <w:tcPr>
            <w:tcW w:w="709"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180</w:t>
            </w:r>
          </w:p>
        </w:tc>
        <w:tc>
          <w:tcPr>
            <w:tcW w:w="850"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60</w:t>
            </w:r>
          </w:p>
        </w:tc>
        <w:tc>
          <w:tcPr>
            <w:tcW w:w="851"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120</w:t>
            </w:r>
          </w:p>
        </w:tc>
        <w:tc>
          <w:tcPr>
            <w:tcW w:w="850"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164</w:t>
            </w:r>
          </w:p>
        </w:tc>
        <w:tc>
          <w:tcPr>
            <w:tcW w:w="709"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16</w:t>
            </w:r>
          </w:p>
        </w:tc>
        <w:tc>
          <w:tcPr>
            <w:tcW w:w="850"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125</w:t>
            </w:r>
          </w:p>
        </w:tc>
        <w:tc>
          <w:tcPr>
            <w:tcW w:w="993"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53</w:t>
            </w:r>
          </w:p>
        </w:tc>
        <w:tc>
          <w:tcPr>
            <w:tcW w:w="2230" w:type="dxa"/>
          </w:tcPr>
          <w:p w:rsidR="005D0723" w:rsidRPr="00F21A31" w:rsidRDefault="005D0723" w:rsidP="00DA0350">
            <w:pPr>
              <w:spacing w:after="0" w:line="240" w:lineRule="auto"/>
              <w:jc w:val="center"/>
              <w:rPr>
                <w:rFonts w:ascii="Times New Roman" w:eastAsia="Calibri" w:hAnsi="Times New Roman" w:cs="Times New Roman"/>
                <w:b/>
                <w:sz w:val="20"/>
                <w:szCs w:val="24"/>
              </w:rPr>
            </w:pPr>
            <w:r w:rsidRPr="00F21A31">
              <w:rPr>
                <w:rFonts w:ascii="Times New Roman" w:eastAsia="Calibri" w:hAnsi="Times New Roman" w:cs="Times New Roman"/>
                <w:b/>
                <w:sz w:val="20"/>
                <w:szCs w:val="24"/>
              </w:rPr>
              <w:t>2</w:t>
            </w:r>
          </w:p>
        </w:tc>
      </w:tr>
      <w:tr w:rsidR="005D0723" w:rsidRPr="00CA7A66" w:rsidTr="00DA0350">
        <w:trPr>
          <w:trHeight w:val="298"/>
          <w:jc w:val="center"/>
        </w:trPr>
        <w:tc>
          <w:tcPr>
            <w:tcW w:w="1523"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Доля</w:t>
            </w:r>
          </w:p>
        </w:tc>
        <w:tc>
          <w:tcPr>
            <w:tcW w:w="709"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100%</w:t>
            </w:r>
          </w:p>
        </w:tc>
        <w:tc>
          <w:tcPr>
            <w:tcW w:w="850"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33%</w:t>
            </w:r>
          </w:p>
        </w:tc>
        <w:tc>
          <w:tcPr>
            <w:tcW w:w="851"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67%</w:t>
            </w:r>
          </w:p>
        </w:tc>
        <w:tc>
          <w:tcPr>
            <w:tcW w:w="850"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91,1%</w:t>
            </w:r>
          </w:p>
        </w:tc>
        <w:tc>
          <w:tcPr>
            <w:tcW w:w="709"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8,9%</w:t>
            </w:r>
          </w:p>
        </w:tc>
        <w:tc>
          <w:tcPr>
            <w:tcW w:w="850"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69,4%</w:t>
            </w:r>
          </w:p>
        </w:tc>
        <w:tc>
          <w:tcPr>
            <w:tcW w:w="993"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29,4%</w:t>
            </w:r>
          </w:p>
        </w:tc>
        <w:tc>
          <w:tcPr>
            <w:tcW w:w="2230" w:type="dxa"/>
          </w:tcPr>
          <w:p w:rsidR="005D0723" w:rsidRPr="00F21A31" w:rsidRDefault="005D0723" w:rsidP="00DA0350">
            <w:pPr>
              <w:spacing w:after="0" w:line="240" w:lineRule="auto"/>
              <w:jc w:val="center"/>
              <w:rPr>
                <w:rFonts w:ascii="Times New Roman" w:eastAsia="Calibri" w:hAnsi="Times New Roman" w:cs="Times New Roman"/>
                <w:sz w:val="20"/>
                <w:szCs w:val="24"/>
              </w:rPr>
            </w:pPr>
            <w:r w:rsidRPr="00F21A31">
              <w:rPr>
                <w:rFonts w:ascii="Times New Roman" w:eastAsia="Calibri" w:hAnsi="Times New Roman" w:cs="Times New Roman"/>
                <w:sz w:val="20"/>
                <w:szCs w:val="24"/>
              </w:rPr>
              <w:t>1,2%</w:t>
            </w:r>
          </w:p>
        </w:tc>
      </w:tr>
    </w:tbl>
    <w:p w:rsidR="005D0723" w:rsidRPr="00CA7A66" w:rsidRDefault="005D0723" w:rsidP="005D0723">
      <w:pPr>
        <w:spacing w:after="0" w:line="240" w:lineRule="auto"/>
        <w:jc w:val="both"/>
        <w:rPr>
          <w:rFonts w:ascii="Times New Roman" w:eastAsia="Calibri" w:hAnsi="Times New Roman" w:cs="Times New Roman"/>
          <w:sz w:val="28"/>
          <w:szCs w:val="28"/>
        </w:rPr>
      </w:pPr>
    </w:p>
    <w:p w:rsidR="005D0723" w:rsidRDefault="005D0723" w:rsidP="005D0723">
      <w:pPr>
        <w:spacing w:after="0"/>
        <w:rPr>
          <w:rFonts w:ascii="Times New Roman" w:eastAsia="Calibri" w:hAnsi="Times New Roman" w:cs="Times New Roman"/>
          <w:sz w:val="28"/>
          <w:szCs w:val="28"/>
        </w:rPr>
      </w:pPr>
      <w:r>
        <w:rPr>
          <w:noProof/>
        </w:rPr>
        <w:lastRenderedPageBreak/>
        <w:drawing>
          <wp:inline distT="0" distB="0" distL="0" distR="0" wp14:anchorId="08BA0F82" wp14:editId="64F1AB97">
            <wp:extent cx="5940425" cy="2672080"/>
            <wp:effectExtent l="57150" t="57150" r="41275" b="5207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D0723" w:rsidRDefault="005D0723" w:rsidP="005D0723">
      <w:pPr>
        <w:spacing w:after="0"/>
        <w:ind w:firstLine="720"/>
        <w:jc w:val="center"/>
        <w:rPr>
          <w:rFonts w:ascii="Times New Roman" w:eastAsia="Calibri" w:hAnsi="Times New Roman" w:cs="Times New Roman"/>
          <w:sz w:val="24"/>
          <w:szCs w:val="24"/>
        </w:rPr>
      </w:pPr>
      <w:r w:rsidRPr="005D6C18">
        <w:rPr>
          <w:rFonts w:ascii="Times New Roman" w:eastAsia="Calibri" w:hAnsi="Times New Roman" w:cs="Times New Roman"/>
          <w:sz w:val="24"/>
          <w:szCs w:val="24"/>
        </w:rPr>
        <w:t xml:space="preserve">Рисунок </w:t>
      </w:r>
      <w:r>
        <w:rPr>
          <w:rFonts w:ascii="Times New Roman" w:eastAsia="Calibri" w:hAnsi="Times New Roman" w:cs="Times New Roman"/>
          <w:sz w:val="24"/>
          <w:szCs w:val="24"/>
        </w:rPr>
        <w:t>2</w:t>
      </w:r>
      <w:r w:rsidRPr="005D6C18">
        <w:rPr>
          <w:rFonts w:ascii="Times New Roman" w:eastAsia="Calibri" w:hAnsi="Times New Roman" w:cs="Times New Roman"/>
          <w:sz w:val="24"/>
          <w:szCs w:val="24"/>
        </w:rPr>
        <w:t xml:space="preserve"> – Сравнительн</w:t>
      </w:r>
      <w:r>
        <w:rPr>
          <w:rFonts w:ascii="Times New Roman" w:eastAsia="Calibri" w:hAnsi="Times New Roman" w:cs="Times New Roman"/>
          <w:sz w:val="24"/>
          <w:szCs w:val="24"/>
        </w:rPr>
        <w:t>ый анализ количества обращений за 2014-2015</w:t>
      </w:r>
      <w:r w:rsidRPr="005D6C18">
        <w:rPr>
          <w:rFonts w:ascii="Times New Roman" w:eastAsia="Calibri" w:hAnsi="Times New Roman" w:cs="Times New Roman"/>
          <w:sz w:val="24"/>
          <w:szCs w:val="24"/>
        </w:rPr>
        <w:t xml:space="preserve"> гг.</w:t>
      </w:r>
    </w:p>
    <w:p w:rsidR="00FA5F2A" w:rsidRDefault="00FA5F2A" w:rsidP="005D0723">
      <w:pPr>
        <w:spacing w:after="0"/>
        <w:ind w:firstLine="720"/>
        <w:jc w:val="center"/>
        <w:rPr>
          <w:rFonts w:ascii="Times New Roman" w:eastAsia="Calibri" w:hAnsi="Times New Roman" w:cs="Times New Roman"/>
          <w:sz w:val="24"/>
          <w:szCs w:val="24"/>
        </w:rPr>
      </w:pPr>
    </w:p>
    <w:p w:rsidR="005D0723" w:rsidRDefault="005D0723" w:rsidP="005D0723">
      <w:pPr>
        <w:spacing w:after="0"/>
        <w:jc w:val="center"/>
        <w:rPr>
          <w:rFonts w:ascii="Times New Roman" w:eastAsia="Calibri" w:hAnsi="Times New Roman" w:cs="Times New Roman"/>
          <w:sz w:val="28"/>
          <w:szCs w:val="28"/>
        </w:rPr>
      </w:pPr>
      <w:r>
        <w:rPr>
          <w:noProof/>
        </w:rPr>
        <w:drawing>
          <wp:inline distT="0" distB="0" distL="0" distR="0" wp14:anchorId="2650B6FE" wp14:editId="018900C6">
            <wp:extent cx="5956300" cy="2425700"/>
            <wp:effectExtent l="38100" t="57150" r="44450" b="508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D0723" w:rsidRPr="006E504D" w:rsidRDefault="005D0723" w:rsidP="005D0723">
      <w:pPr>
        <w:spacing w:after="0"/>
        <w:ind w:firstLine="720"/>
        <w:jc w:val="center"/>
        <w:rPr>
          <w:rFonts w:ascii="Times New Roman" w:eastAsia="Calibri" w:hAnsi="Times New Roman" w:cs="Times New Roman"/>
          <w:sz w:val="24"/>
          <w:szCs w:val="24"/>
        </w:rPr>
      </w:pPr>
      <w:r w:rsidRPr="006E504D">
        <w:rPr>
          <w:rFonts w:ascii="Times New Roman" w:eastAsia="Calibri" w:hAnsi="Times New Roman" w:cs="Times New Roman"/>
          <w:sz w:val="24"/>
          <w:szCs w:val="24"/>
        </w:rPr>
        <w:t xml:space="preserve">Рисунок </w:t>
      </w:r>
      <w:r>
        <w:rPr>
          <w:rFonts w:ascii="Times New Roman" w:eastAsia="Calibri" w:hAnsi="Times New Roman" w:cs="Times New Roman"/>
          <w:sz w:val="24"/>
          <w:szCs w:val="24"/>
        </w:rPr>
        <w:t>3</w:t>
      </w:r>
      <w:r w:rsidRPr="006E504D">
        <w:rPr>
          <w:rFonts w:ascii="Times New Roman" w:eastAsia="Calibri" w:hAnsi="Times New Roman" w:cs="Times New Roman"/>
          <w:sz w:val="24"/>
          <w:szCs w:val="24"/>
        </w:rPr>
        <w:t xml:space="preserve"> – Классификация обращений по субъектам</w:t>
      </w:r>
      <w:r>
        <w:rPr>
          <w:rFonts w:ascii="Times New Roman" w:eastAsia="Calibri" w:hAnsi="Times New Roman" w:cs="Times New Roman"/>
          <w:sz w:val="24"/>
          <w:szCs w:val="24"/>
        </w:rPr>
        <w:t xml:space="preserve"> в 2015 г.</w:t>
      </w:r>
    </w:p>
    <w:p w:rsidR="005D0723" w:rsidRDefault="005D0723" w:rsidP="005D0723">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Устные обращения </w:t>
      </w:r>
      <w:r w:rsidR="00091DB0">
        <w:rPr>
          <w:rFonts w:ascii="Times New Roman" w:eastAsia="Calibri" w:hAnsi="Times New Roman" w:cs="Times New Roman"/>
          <w:sz w:val="28"/>
          <w:szCs w:val="28"/>
        </w:rPr>
        <w:t>поступали Уполномоченному</w:t>
      </w:r>
      <w:r>
        <w:rPr>
          <w:rFonts w:ascii="Times New Roman" w:eastAsia="Calibri" w:hAnsi="Times New Roman" w:cs="Times New Roman"/>
          <w:sz w:val="28"/>
          <w:szCs w:val="28"/>
        </w:rPr>
        <w:t xml:space="preserve"> при </w:t>
      </w:r>
      <w:r w:rsidR="00091DB0">
        <w:rPr>
          <w:rFonts w:ascii="Times New Roman" w:eastAsia="Calibri" w:hAnsi="Times New Roman" w:cs="Times New Roman"/>
          <w:sz w:val="28"/>
          <w:szCs w:val="28"/>
        </w:rPr>
        <w:t>проведении личных приемов</w:t>
      </w:r>
      <w:r>
        <w:rPr>
          <w:rFonts w:ascii="Times New Roman" w:eastAsia="Calibri" w:hAnsi="Times New Roman" w:cs="Times New Roman"/>
          <w:sz w:val="28"/>
          <w:szCs w:val="28"/>
        </w:rPr>
        <w:t xml:space="preserve"> предпринимателей, которые регулярно проводились в течение 2015 года. </w:t>
      </w:r>
    </w:p>
    <w:p w:rsidR="005D0723" w:rsidRDefault="005D0723" w:rsidP="005D0723">
      <w:pPr>
        <w:spacing w:after="0" w:line="360" w:lineRule="auto"/>
        <w:ind w:firstLine="709"/>
        <w:jc w:val="both"/>
        <w:rPr>
          <w:rFonts w:ascii="Times New Roman" w:eastAsia="Calibri" w:hAnsi="Times New Roman" w:cs="Times New Roman"/>
          <w:sz w:val="28"/>
          <w:szCs w:val="28"/>
        </w:rPr>
      </w:pPr>
      <w:r w:rsidRPr="00CA7A66">
        <w:rPr>
          <w:rFonts w:ascii="Times New Roman" w:eastAsia="Calibri" w:hAnsi="Times New Roman" w:cs="Times New Roman"/>
          <w:sz w:val="28"/>
          <w:szCs w:val="28"/>
        </w:rPr>
        <w:t xml:space="preserve">За отчетный период в </w:t>
      </w:r>
      <w:r>
        <w:rPr>
          <w:rFonts w:ascii="Times New Roman" w:eastAsia="Calibri" w:hAnsi="Times New Roman" w:cs="Times New Roman"/>
          <w:sz w:val="28"/>
          <w:szCs w:val="28"/>
        </w:rPr>
        <w:t>Аппарат</w:t>
      </w:r>
      <w:r w:rsidRPr="00CA7A66">
        <w:rPr>
          <w:rFonts w:ascii="Times New Roman" w:eastAsia="Calibri" w:hAnsi="Times New Roman" w:cs="Times New Roman"/>
          <w:sz w:val="28"/>
          <w:szCs w:val="28"/>
        </w:rPr>
        <w:t xml:space="preserve"> Уполномоченного поступили обращения от предпринимателей из 11 муниципальных образований Республики Алтай: </w:t>
      </w:r>
      <w:r>
        <w:rPr>
          <w:rFonts w:ascii="Times New Roman" w:eastAsia="Calibri" w:hAnsi="Times New Roman" w:cs="Times New Roman"/>
          <w:sz w:val="28"/>
          <w:szCs w:val="28"/>
        </w:rPr>
        <w:t>Горно-Алтайского</w:t>
      </w:r>
      <w:r w:rsidRPr="00CA7A66">
        <w:rPr>
          <w:rFonts w:ascii="Times New Roman" w:eastAsia="Calibri" w:hAnsi="Times New Roman" w:cs="Times New Roman"/>
          <w:sz w:val="28"/>
          <w:szCs w:val="28"/>
        </w:rPr>
        <w:t xml:space="preserve"> (составляет наибольший удельный вес в общем количестве обращений – </w:t>
      </w:r>
      <w:r>
        <w:rPr>
          <w:rFonts w:ascii="Times New Roman" w:eastAsia="Calibri" w:hAnsi="Times New Roman" w:cs="Times New Roman"/>
          <w:sz w:val="28"/>
          <w:szCs w:val="28"/>
        </w:rPr>
        <w:t>31, 98</w:t>
      </w:r>
      <w:r w:rsidRPr="00CA7A66">
        <w:rPr>
          <w:rFonts w:ascii="Times New Roman" w:eastAsia="Calibri" w:hAnsi="Times New Roman" w:cs="Times New Roman"/>
          <w:sz w:val="28"/>
          <w:szCs w:val="28"/>
        </w:rPr>
        <w:t>%), Турочакского</w:t>
      </w:r>
      <w:r>
        <w:rPr>
          <w:rFonts w:ascii="Times New Roman" w:eastAsia="Calibri" w:hAnsi="Times New Roman" w:cs="Times New Roman"/>
          <w:sz w:val="28"/>
          <w:szCs w:val="28"/>
        </w:rPr>
        <w:t xml:space="preserve"> (17, 77%)</w:t>
      </w:r>
      <w:r w:rsidRPr="00CA7A66">
        <w:rPr>
          <w:rFonts w:ascii="Times New Roman" w:eastAsia="Calibri" w:hAnsi="Times New Roman" w:cs="Times New Roman"/>
          <w:sz w:val="28"/>
          <w:szCs w:val="28"/>
        </w:rPr>
        <w:t>Майминского</w:t>
      </w:r>
      <w:r>
        <w:rPr>
          <w:rFonts w:ascii="Times New Roman" w:eastAsia="Calibri" w:hAnsi="Times New Roman" w:cs="Times New Roman"/>
          <w:sz w:val="28"/>
          <w:szCs w:val="28"/>
        </w:rPr>
        <w:t xml:space="preserve"> (11,17 %)</w:t>
      </w:r>
      <w:r w:rsidRPr="00CA7A66">
        <w:rPr>
          <w:rFonts w:ascii="Times New Roman" w:eastAsia="Calibri" w:hAnsi="Times New Roman" w:cs="Times New Roman"/>
          <w:sz w:val="28"/>
          <w:szCs w:val="28"/>
        </w:rPr>
        <w:t>, Усть-Коксинского</w:t>
      </w:r>
      <w:r>
        <w:rPr>
          <w:rFonts w:ascii="Times New Roman" w:eastAsia="Calibri" w:hAnsi="Times New Roman" w:cs="Times New Roman"/>
          <w:sz w:val="28"/>
          <w:szCs w:val="28"/>
        </w:rPr>
        <w:t xml:space="preserve"> (8,63%)</w:t>
      </w:r>
      <w:r w:rsidRPr="00CA7A66">
        <w:rPr>
          <w:rFonts w:ascii="Times New Roman" w:eastAsia="Calibri" w:hAnsi="Times New Roman" w:cs="Times New Roman"/>
          <w:sz w:val="28"/>
          <w:szCs w:val="28"/>
        </w:rPr>
        <w:t>, Онгудайского</w:t>
      </w:r>
      <w:r>
        <w:rPr>
          <w:rFonts w:ascii="Times New Roman" w:eastAsia="Calibri" w:hAnsi="Times New Roman" w:cs="Times New Roman"/>
          <w:sz w:val="28"/>
          <w:szCs w:val="28"/>
        </w:rPr>
        <w:t xml:space="preserve"> (6,09 %)</w:t>
      </w:r>
      <w:r w:rsidRPr="00CA7A6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A7A66">
        <w:rPr>
          <w:rFonts w:ascii="Times New Roman" w:eastAsia="Calibri" w:hAnsi="Times New Roman" w:cs="Times New Roman"/>
          <w:sz w:val="28"/>
          <w:szCs w:val="28"/>
        </w:rPr>
        <w:t>Кош-</w:t>
      </w:r>
      <w:proofErr w:type="spellStart"/>
      <w:r w:rsidRPr="00CA7A66">
        <w:rPr>
          <w:rFonts w:ascii="Times New Roman" w:eastAsia="Calibri" w:hAnsi="Times New Roman" w:cs="Times New Roman"/>
          <w:sz w:val="28"/>
          <w:szCs w:val="28"/>
        </w:rPr>
        <w:t>Агачского</w:t>
      </w:r>
      <w:proofErr w:type="spellEnd"/>
      <w:r>
        <w:rPr>
          <w:rFonts w:ascii="Times New Roman" w:eastAsia="Calibri" w:hAnsi="Times New Roman" w:cs="Times New Roman"/>
          <w:sz w:val="28"/>
          <w:szCs w:val="28"/>
        </w:rPr>
        <w:t xml:space="preserve"> (5,58%), </w:t>
      </w:r>
      <w:proofErr w:type="spellStart"/>
      <w:r w:rsidRPr="00CA7A66">
        <w:rPr>
          <w:rFonts w:ascii="Times New Roman" w:eastAsia="Calibri" w:hAnsi="Times New Roman" w:cs="Times New Roman"/>
          <w:sz w:val="28"/>
          <w:szCs w:val="28"/>
        </w:rPr>
        <w:t>Улаганского</w:t>
      </w:r>
      <w:proofErr w:type="spellEnd"/>
      <w:r>
        <w:rPr>
          <w:rFonts w:ascii="Times New Roman" w:eastAsia="Calibri" w:hAnsi="Times New Roman" w:cs="Times New Roman"/>
          <w:sz w:val="28"/>
          <w:szCs w:val="28"/>
        </w:rPr>
        <w:t xml:space="preserve"> (5,58%)</w:t>
      </w:r>
      <w:r w:rsidRPr="00CA7A66">
        <w:rPr>
          <w:rFonts w:ascii="Times New Roman" w:eastAsia="Calibri" w:hAnsi="Times New Roman" w:cs="Times New Roman"/>
          <w:sz w:val="28"/>
          <w:szCs w:val="28"/>
        </w:rPr>
        <w:t>Чемальского</w:t>
      </w:r>
      <w:r>
        <w:rPr>
          <w:rFonts w:ascii="Times New Roman" w:eastAsia="Calibri" w:hAnsi="Times New Roman" w:cs="Times New Roman"/>
          <w:sz w:val="28"/>
          <w:szCs w:val="28"/>
        </w:rPr>
        <w:t xml:space="preserve"> (4, 57%)</w:t>
      </w:r>
      <w:r w:rsidRPr="00CA7A66">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Шебалинского</w:t>
      </w:r>
      <w:proofErr w:type="spellEnd"/>
      <w:r>
        <w:rPr>
          <w:rFonts w:ascii="Times New Roman" w:eastAsia="Calibri" w:hAnsi="Times New Roman" w:cs="Times New Roman"/>
          <w:sz w:val="28"/>
          <w:szCs w:val="28"/>
        </w:rPr>
        <w:t xml:space="preserve"> (4,57%), </w:t>
      </w:r>
      <w:proofErr w:type="spellStart"/>
      <w:r w:rsidRPr="00CA7A66">
        <w:rPr>
          <w:rFonts w:ascii="Times New Roman" w:eastAsia="Calibri" w:hAnsi="Times New Roman" w:cs="Times New Roman"/>
          <w:sz w:val="28"/>
          <w:szCs w:val="28"/>
        </w:rPr>
        <w:t>Усть</w:t>
      </w:r>
      <w:r>
        <w:rPr>
          <w:rFonts w:ascii="Times New Roman" w:eastAsia="Calibri" w:hAnsi="Times New Roman" w:cs="Times New Roman"/>
          <w:sz w:val="28"/>
          <w:szCs w:val="28"/>
        </w:rPr>
        <w:t>-Канского</w:t>
      </w:r>
      <w:proofErr w:type="spellEnd"/>
      <w:r>
        <w:rPr>
          <w:rFonts w:ascii="Times New Roman" w:eastAsia="Calibri" w:hAnsi="Times New Roman" w:cs="Times New Roman"/>
          <w:sz w:val="28"/>
          <w:szCs w:val="28"/>
        </w:rPr>
        <w:t xml:space="preserve"> (2,54%),</w:t>
      </w:r>
      <w:proofErr w:type="spellStart"/>
      <w:r w:rsidRPr="00CA7A66">
        <w:rPr>
          <w:rFonts w:ascii="Times New Roman" w:eastAsia="Calibri" w:hAnsi="Times New Roman" w:cs="Times New Roman"/>
          <w:sz w:val="28"/>
          <w:szCs w:val="28"/>
        </w:rPr>
        <w:t>Чойского</w:t>
      </w:r>
      <w:proofErr w:type="spellEnd"/>
      <w:r>
        <w:rPr>
          <w:rFonts w:ascii="Times New Roman" w:eastAsia="Calibri" w:hAnsi="Times New Roman" w:cs="Times New Roman"/>
          <w:sz w:val="28"/>
          <w:szCs w:val="28"/>
        </w:rPr>
        <w:t xml:space="preserve"> (1,52%)</w:t>
      </w:r>
      <w:r w:rsidRPr="00CA7A66">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Структура обращений по территориальной принадлежности в 2015 году представлена на рис. 4.</w:t>
      </w:r>
    </w:p>
    <w:p w:rsidR="005D0723" w:rsidRDefault="005D0723" w:rsidP="005D0723">
      <w:pPr>
        <w:spacing w:after="0"/>
        <w:jc w:val="both"/>
        <w:rPr>
          <w:rFonts w:ascii="Times New Roman" w:eastAsia="Calibri" w:hAnsi="Times New Roman" w:cs="Times New Roman"/>
          <w:sz w:val="28"/>
          <w:szCs w:val="28"/>
        </w:rPr>
      </w:pPr>
      <w:r>
        <w:rPr>
          <w:noProof/>
        </w:rPr>
        <w:lastRenderedPageBreak/>
        <w:drawing>
          <wp:inline distT="0" distB="0" distL="0" distR="0" wp14:anchorId="7FEF5EE1" wp14:editId="1D17CB5D">
            <wp:extent cx="5867400" cy="2679700"/>
            <wp:effectExtent l="38100" t="57150" r="38100" b="444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D0723" w:rsidRDefault="005D0723" w:rsidP="005D0723">
      <w:pPr>
        <w:spacing w:after="0"/>
        <w:ind w:firstLine="709"/>
        <w:jc w:val="center"/>
        <w:rPr>
          <w:rFonts w:ascii="Times New Roman" w:eastAsia="Calibri" w:hAnsi="Times New Roman" w:cs="Times New Roman"/>
          <w:sz w:val="24"/>
          <w:szCs w:val="24"/>
        </w:rPr>
      </w:pPr>
      <w:r w:rsidRPr="00DF7EFD">
        <w:rPr>
          <w:rFonts w:ascii="Times New Roman" w:eastAsia="Calibri" w:hAnsi="Times New Roman" w:cs="Times New Roman"/>
          <w:sz w:val="24"/>
          <w:szCs w:val="24"/>
        </w:rPr>
        <w:t>Рис</w:t>
      </w:r>
      <w:r>
        <w:rPr>
          <w:rFonts w:ascii="Times New Roman" w:eastAsia="Calibri" w:hAnsi="Times New Roman" w:cs="Times New Roman"/>
          <w:sz w:val="24"/>
          <w:szCs w:val="24"/>
        </w:rPr>
        <w:t>унок 4</w:t>
      </w:r>
      <w:r w:rsidRPr="00DF7EFD">
        <w:rPr>
          <w:rFonts w:ascii="Times New Roman" w:eastAsia="Calibri" w:hAnsi="Times New Roman" w:cs="Times New Roman"/>
          <w:sz w:val="24"/>
          <w:szCs w:val="24"/>
        </w:rPr>
        <w:t xml:space="preserve"> - Структура обращений по территориальной принадлежности</w:t>
      </w:r>
      <w:r>
        <w:rPr>
          <w:rFonts w:ascii="Times New Roman" w:eastAsia="Calibri" w:hAnsi="Times New Roman" w:cs="Times New Roman"/>
          <w:sz w:val="24"/>
          <w:szCs w:val="24"/>
        </w:rPr>
        <w:t xml:space="preserve"> в 2015 г.</w:t>
      </w:r>
    </w:p>
    <w:p w:rsidR="005D0723" w:rsidRPr="00225686" w:rsidRDefault="005D0723" w:rsidP="005D072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Далее представлен анализ обращений предпринимателей по предмету правового регулирования.</w:t>
      </w:r>
    </w:p>
    <w:p w:rsidR="005D0723" w:rsidRDefault="005D0723" w:rsidP="005D0723">
      <w:pPr>
        <w:spacing w:after="0" w:line="240" w:lineRule="auto"/>
        <w:jc w:val="center"/>
        <w:rPr>
          <w:rFonts w:ascii="Times New Roman" w:eastAsia="Calibri" w:hAnsi="Times New Roman" w:cs="Times New Roman"/>
          <w:sz w:val="28"/>
          <w:szCs w:val="28"/>
        </w:rPr>
      </w:pPr>
      <w:r w:rsidRPr="00CA7A66">
        <w:rPr>
          <w:rFonts w:ascii="Times New Roman" w:eastAsia="Calibri" w:hAnsi="Times New Roman" w:cs="Times New Roman"/>
          <w:sz w:val="28"/>
          <w:szCs w:val="28"/>
        </w:rPr>
        <w:t>По предмету правового регулирования письменные обращения распределяются следующим образом:</w:t>
      </w:r>
    </w:p>
    <w:p w:rsidR="005D0723" w:rsidRPr="00C53864" w:rsidRDefault="005D0723" w:rsidP="005D0723">
      <w:pPr>
        <w:spacing w:after="0" w:line="240" w:lineRule="auto"/>
        <w:jc w:val="right"/>
        <w:rPr>
          <w:rFonts w:ascii="Times New Roman" w:eastAsia="Calibri" w:hAnsi="Times New Roman" w:cs="Times New Roman"/>
          <w:b/>
          <w:sz w:val="28"/>
          <w:szCs w:val="28"/>
        </w:rPr>
      </w:pPr>
      <w:r w:rsidRPr="00C53864">
        <w:rPr>
          <w:rFonts w:ascii="Times New Roman" w:eastAsia="Calibri" w:hAnsi="Times New Roman" w:cs="Times New Roman"/>
          <w:b/>
          <w:sz w:val="28"/>
          <w:szCs w:val="28"/>
        </w:rPr>
        <w:t>Таблица 3.</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0"/>
        <w:gridCol w:w="1672"/>
      </w:tblGrid>
      <w:tr w:rsidR="005D0723" w:rsidRPr="00FB5F06" w:rsidTr="00DA0350">
        <w:trPr>
          <w:trHeight w:val="625"/>
        </w:trPr>
        <w:tc>
          <w:tcPr>
            <w:tcW w:w="7400" w:type="dxa"/>
          </w:tcPr>
          <w:p w:rsidR="005D0723" w:rsidRPr="00736531" w:rsidRDefault="005D0723" w:rsidP="00DA0350">
            <w:pPr>
              <w:spacing w:after="0" w:line="240" w:lineRule="auto"/>
              <w:jc w:val="center"/>
              <w:rPr>
                <w:rFonts w:ascii="Times New Roman" w:hAnsi="Times New Roman" w:cs="Times New Roman"/>
                <w:b/>
                <w:sz w:val="24"/>
                <w:szCs w:val="24"/>
              </w:rPr>
            </w:pPr>
            <w:r w:rsidRPr="00736531">
              <w:rPr>
                <w:rFonts w:ascii="Times New Roman" w:hAnsi="Times New Roman" w:cs="Times New Roman"/>
                <w:b/>
                <w:sz w:val="24"/>
                <w:szCs w:val="24"/>
              </w:rPr>
              <w:t>Суть вопроса</w:t>
            </w:r>
          </w:p>
        </w:tc>
        <w:tc>
          <w:tcPr>
            <w:tcW w:w="1672" w:type="dxa"/>
          </w:tcPr>
          <w:p w:rsidR="005D0723" w:rsidRPr="00736531" w:rsidRDefault="005D0723" w:rsidP="00DA0350">
            <w:pPr>
              <w:spacing w:after="0" w:line="240" w:lineRule="auto"/>
              <w:jc w:val="center"/>
              <w:rPr>
                <w:rFonts w:ascii="Times New Roman" w:hAnsi="Times New Roman" w:cs="Times New Roman"/>
                <w:b/>
                <w:sz w:val="24"/>
                <w:szCs w:val="24"/>
              </w:rPr>
            </w:pPr>
            <w:r w:rsidRPr="00736531">
              <w:rPr>
                <w:rFonts w:ascii="Times New Roman" w:hAnsi="Times New Roman" w:cs="Times New Roman"/>
                <w:b/>
                <w:sz w:val="24"/>
                <w:szCs w:val="24"/>
              </w:rPr>
              <w:t>Процент обращений</w:t>
            </w:r>
          </w:p>
        </w:tc>
      </w:tr>
      <w:tr w:rsidR="005D0723" w:rsidRPr="00FB5F06" w:rsidTr="00DA0350">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sidRPr="00FB5F06">
              <w:rPr>
                <w:rFonts w:ascii="Times New Roman" w:hAnsi="Times New Roman" w:cs="Times New Roman"/>
                <w:sz w:val="24"/>
                <w:szCs w:val="24"/>
              </w:rPr>
              <w:t>по вопросам, связанным с ликвидацией нарушений прав предпринимателей в сфере кадастров, земельных отношений и имущественных прав</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19,29</w:t>
            </w:r>
            <w:r w:rsidRPr="00FB5F06">
              <w:rPr>
                <w:rFonts w:ascii="Times New Roman" w:hAnsi="Times New Roman" w:cs="Times New Roman"/>
                <w:b/>
                <w:sz w:val="24"/>
                <w:szCs w:val="24"/>
              </w:rPr>
              <w:t>%</w:t>
            </w:r>
          </w:p>
        </w:tc>
      </w:tr>
      <w:tr w:rsidR="005D0723" w:rsidRPr="00FB5F06" w:rsidTr="00DA0350">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sidRPr="00FB5F06">
              <w:rPr>
                <w:rFonts w:ascii="Times New Roman" w:hAnsi="Times New Roman" w:cs="Times New Roman"/>
                <w:sz w:val="24"/>
                <w:szCs w:val="24"/>
              </w:rPr>
              <w:t>по вопросам налоговых, страховых и пенсионных выплат и взносов</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12,18 </w:t>
            </w:r>
            <w:r w:rsidRPr="00FB5F06">
              <w:rPr>
                <w:rFonts w:ascii="Times New Roman" w:hAnsi="Times New Roman" w:cs="Times New Roman"/>
                <w:b/>
                <w:sz w:val="24"/>
                <w:szCs w:val="24"/>
              </w:rPr>
              <w:t>%</w:t>
            </w:r>
          </w:p>
        </w:tc>
      </w:tr>
      <w:tr w:rsidR="005D0723" w:rsidRPr="00FB5F06" w:rsidTr="00DA0350">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B5F06">
              <w:rPr>
                <w:rFonts w:ascii="Times New Roman" w:hAnsi="Times New Roman" w:cs="Times New Roman"/>
                <w:sz w:val="24"/>
                <w:szCs w:val="24"/>
              </w:rPr>
              <w:t>о вопросам, связанным с ликвидацией нарушений прав предпринимателей участия в мероприятиях по оказанию государственной поддержки предпринимателям</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10,66</w:t>
            </w:r>
            <w:r w:rsidRPr="00FB5F06">
              <w:rPr>
                <w:rFonts w:ascii="Times New Roman" w:hAnsi="Times New Roman" w:cs="Times New Roman"/>
                <w:b/>
                <w:sz w:val="24"/>
                <w:szCs w:val="24"/>
              </w:rPr>
              <w:t>%</w:t>
            </w:r>
          </w:p>
        </w:tc>
      </w:tr>
      <w:tr w:rsidR="005D0723" w:rsidRPr="00FB5F06" w:rsidTr="00DA0350">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sidRPr="00FB5F06">
              <w:rPr>
                <w:rFonts w:ascii="Times New Roman" w:hAnsi="Times New Roman" w:cs="Times New Roman"/>
                <w:sz w:val="24"/>
                <w:szCs w:val="24"/>
              </w:rPr>
              <w:t xml:space="preserve">по вопросам, связанным с ликвидацией нарушений прав предпринимателей при проведении плановых и внеплановых </w:t>
            </w:r>
            <w:r w:rsidR="00091DB0" w:rsidRPr="00FB5F06">
              <w:rPr>
                <w:rFonts w:ascii="Times New Roman" w:hAnsi="Times New Roman" w:cs="Times New Roman"/>
                <w:sz w:val="24"/>
                <w:szCs w:val="24"/>
              </w:rPr>
              <w:t>проверок контрольными</w:t>
            </w:r>
            <w:r w:rsidRPr="00FB5F06">
              <w:rPr>
                <w:rFonts w:ascii="Times New Roman" w:hAnsi="Times New Roman" w:cs="Times New Roman"/>
                <w:sz w:val="24"/>
                <w:szCs w:val="24"/>
              </w:rPr>
              <w:t xml:space="preserve"> (надзорными) органами</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9,64</w:t>
            </w:r>
            <w:r w:rsidRPr="00FB5F06">
              <w:rPr>
                <w:rFonts w:ascii="Times New Roman" w:hAnsi="Times New Roman" w:cs="Times New Roman"/>
                <w:b/>
                <w:sz w:val="24"/>
                <w:szCs w:val="24"/>
              </w:rPr>
              <w:t>%</w:t>
            </w:r>
          </w:p>
        </w:tc>
      </w:tr>
      <w:tr w:rsidR="005D0723" w:rsidRPr="00FB5F06" w:rsidTr="00DA0350">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sidRPr="00FB5F06">
              <w:rPr>
                <w:rFonts w:ascii="Times New Roman" w:hAnsi="Times New Roman" w:cs="Times New Roman"/>
                <w:sz w:val="24"/>
                <w:szCs w:val="24"/>
              </w:rPr>
              <w:t>по вопросам, связанным с ликвидацией нарушений прав предпринимателей в сфере банковского кредитования и страховых услуг</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9,64</w:t>
            </w:r>
            <w:r w:rsidRPr="00FB5F06">
              <w:rPr>
                <w:rFonts w:ascii="Times New Roman" w:hAnsi="Times New Roman" w:cs="Times New Roman"/>
                <w:b/>
                <w:sz w:val="24"/>
                <w:szCs w:val="24"/>
              </w:rPr>
              <w:t>%</w:t>
            </w:r>
          </w:p>
        </w:tc>
      </w:tr>
      <w:tr w:rsidR="005D0723" w:rsidRPr="00FB5F06" w:rsidTr="00DA0350">
        <w:trPr>
          <w:trHeight w:val="786"/>
        </w:trPr>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разъяснение норм законодательства РФ и субъектов </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8,63 %</w:t>
            </w:r>
          </w:p>
        </w:tc>
      </w:tr>
      <w:tr w:rsidR="005D0723" w:rsidRPr="00FB5F06" w:rsidTr="00DA0350">
        <w:trPr>
          <w:trHeight w:val="786"/>
        </w:trPr>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sidRPr="00FB5F06">
              <w:rPr>
                <w:rFonts w:ascii="Times New Roman" w:hAnsi="Times New Roman" w:cs="Times New Roman"/>
                <w:sz w:val="24"/>
                <w:szCs w:val="24"/>
              </w:rPr>
              <w:t>по вопросам, связанным с ликвидацией нарушений прав предпринимателей в сфере природопользования и экологии</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4,57</w:t>
            </w:r>
            <w:r w:rsidRPr="00FB5F06">
              <w:rPr>
                <w:rFonts w:ascii="Times New Roman" w:hAnsi="Times New Roman" w:cs="Times New Roman"/>
                <w:b/>
                <w:sz w:val="24"/>
                <w:szCs w:val="24"/>
              </w:rPr>
              <w:t>%</w:t>
            </w:r>
          </w:p>
        </w:tc>
      </w:tr>
      <w:tr w:rsidR="005D0723" w:rsidRPr="00FB5F06" w:rsidTr="00DA0350">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sidRPr="00FB5F06">
              <w:rPr>
                <w:rFonts w:ascii="Times New Roman" w:hAnsi="Times New Roman" w:cs="Times New Roman"/>
                <w:sz w:val="24"/>
                <w:szCs w:val="24"/>
              </w:rPr>
              <w:t>по вопросам, связанным с ликвидацией нарушений прав предпринимателей в сфере энергетики и естественных монополий</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3,55</w:t>
            </w:r>
            <w:r w:rsidRPr="00FB5F06">
              <w:rPr>
                <w:rFonts w:ascii="Times New Roman" w:hAnsi="Times New Roman" w:cs="Times New Roman"/>
                <w:b/>
                <w:sz w:val="24"/>
                <w:szCs w:val="24"/>
              </w:rPr>
              <w:t>%</w:t>
            </w:r>
          </w:p>
        </w:tc>
      </w:tr>
      <w:tr w:rsidR="005D0723" w:rsidRPr="00FB5F06" w:rsidTr="00DA0350">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sidRPr="00FB5F06">
              <w:rPr>
                <w:rFonts w:ascii="Times New Roman" w:hAnsi="Times New Roman" w:cs="Times New Roman"/>
                <w:sz w:val="24"/>
                <w:szCs w:val="24"/>
              </w:rPr>
              <w:t>по вопросам, связанным с ликвидацией нарушений прав предпринимателей в сфере сертификации, лицензирования и технического регулирования</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3,55</w:t>
            </w:r>
            <w:r w:rsidRPr="00FB5F06">
              <w:rPr>
                <w:rFonts w:ascii="Times New Roman" w:hAnsi="Times New Roman" w:cs="Times New Roman"/>
                <w:b/>
                <w:sz w:val="24"/>
                <w:szCs w:val="24"/>
              </w:rPr>
              <w:t>%</w:t>
            </w:r>
          </w:p>
        </w:tc>
      </w:tr>
      <w:tr w:rsidR="005D0723" w:rsidRPr="00FB5F06" w:rsidTr="00DA0350">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sidRPr="00FB5F06">
              <w:rPr>
                <w:rFonts w:ascii="Times New Roman" w:hAnsi="Times New Roman" w:cs="Times New Roman"/>
                <w:sz w:val="24"/>
                <w:szCs w:val="24"/>
              </w:rPr>
              <w:t>по вопросам, связанным с ликвидацией нарушений прав предпринимателей в сфере антимонопольного законодательства</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3,55</w:t>
            </w:r>
            <w:r w:rsidRPr="00FB5F06">
              <w:rPr>
                <w:rFonts w:ascii="Times New Roman" w:hAnsi="Times New Roman" w:cs="Times New Roman"/>
                <w:b/>
                <w:sz w:val="24"/>
                <w:szCs w:val="24"/>
              </w:rPr>
              <w:t>%</w:t>
            </w:r>
          </w:p>
        </w:tc>
      </w:tr>
      <w:tr w:rsidR="005D0723" w:rsidRPr="00FB5F06" w:rsidTr="00DA0350">
        <w:trPr>
          <w:trHeight w:val="830"/>
        </w:trPr>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sidRPr="00FB5F06">
              <w:rPr>
                <w:rFonts w:ascii="Times New Roman" w:hAnsi="Times New Roman" w:cs="Times New Roman"/>
                <w:sz w:val="24"/>
                <w:szCs w:val="24"/>
              </w:rPr>
              <w:lastRenderedPageBreak/>
              <w:t>по вопросам, связанным с ликвидацией нарушений прав предпринимателей в сфере миграционной политики и трудового законодательства</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3,05%</w:t>
            </w:r>
          </w:p>
        </w:tc>
      </w:tr>
      <w:tr w:rsidR="005D0723" w:rsidRPr="00FB5F06" w:rsidTr="00DA0350">
        <w:trPr>
          <w:trHeight w:val="830"/>
        </w:trPr>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вопросам, не исполнения договорных обязательств</w:t>
            </w:r>
          </w:p>
        </w:tc>
        <w:tc>
          <w:tcPr>
            <w:tcW w:w="1672" w:type="dxa"/>
          </w:tcPr>
          <w:p w:rsidR="005D0723"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3,05</w:t>
            </w:r>
          </w:p>
        </w:tc>
      </w:tr>
      <w:tr w:rsidR="005D0723" w:rsidRPr="00FB5F06" w:rsidTr="00DA0350">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sidRPr="00FB5F06">
              <w:rPr>
                <w:rFonts w:ascii="Times New Roman" w:hAnsi="Times New Roman" w:cs="Times New Roman"/>
                <w:sz w:val="24"/>
                <w:szCs w:val="24"/>
              </w:rPr>
              <w:t>по вопросам, связанным с исполнением судебных решений</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2,54</w:t>
            </w:r>
            <w:r w:rsidRPr="00FB5F06">
              <w:rPr>
                <w:rFonts w:ascii="Times New Roman" w:hAnsi="Times New Roman" w:cs="Times New Roman"/>
                <w:b/>
                <w:sz w:val="24"/>
                <w:szCs w:val="24"/>
              </w:rPr>
              <w:t>%</w:t>
            </w:r>
          </w:p>
        </w:tc>
      </w:tr>
      <w:tr w:rsidR="005D0723" w:rsidRPr="00FB5F06" w:rsidTr="00DA0350">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sidRPr="00FB5F06">
              <w:rPr>
                <w:rFonts w:ascii="Times New Roman" w:hAnsi="Times New Roman" w:cs="Times New Roman"/>
                <w:sz w:val="24"/>
                <w:szCs w:val="24"/>
              </w:rPr>
              <w:t>по вопросам незаконного вмешательства должностных лиц в предпринимательскую деятельность, неправомерное привлечение предпринимателей к административной ответственности, возбуждение уголовного дела, принятие неправомерных мер пресечения</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2,54</w:t>
            </w:r>
            <w:r w:rsidRPr="00FB5F06">
              <w:rPr>
                <w:rFonts w:ascii="Times New Roman" w:hAnsi="Times New Roman" w:cs="Times New Roman"/>
                <w:b/>
                <w:sz w:val="24"/>
                <w:szCs w:val="24"/>
              </w:rPr>
              <w:t>%</w:t>
            </w:r>
          </w:p>
        </w:tc>
      </w:tr>
      <w:tr w:rsidR="005D0723" w:rsidRPr="00FB5F06" w:rsidTr="00DA0350">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FB5F06">
              <w:rPr>
                <w:rFonts w:ascii="Times New Roman" w:hAnsi="Times New Roman" w:cs="Times New Roman"/>
                <w:sz w:val="24"/>
                <w:szCs w:val="24"/>
              </w:rPr>
              <w:t>о вопросам, связанным с ликвидацией нарушений прав предпринимателей в таможенной сфере</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2,03</w:t>
            </w:r>
            <w:r w:rsidRPr="00FB5F06">
              <w:rPr>
                <w:rFonts w:ascii="Times New Roman" w:hAnsi="Times New Roman" w:cs="Times New Roman"/>
                <w:b/>
                <w:sz w:val="24"/>
                <w:szCs w:val="24"/>
              </w:rPr>
              <w:t>%</w:t>
            </w:r>
          </w:p>
        </w:tc>
      </w:tr>
      <w:tr w:rsidR="005D0723" w:rsidRPr="00FB5F06" w:rsidTr="00DA0350">
        <w:tc>
          <w:tcPr>
            <w:tcW w:w="7400" w:type="dxa"/>
          </w:tcPr>
          <w:p w:rsidR="005D0723" w:rsidRPr="00FB5F06" w:rsidRDefault="005D0723" w:rsidP="00DA0350">
            <w:pPr>
              <w:spacing w:after="0" w:line="240" w:lineRule="auto"/>
              <w:jc w:val="both"/>
              <w:rPr>
                <w:rFonts w:ascii="Times New Roman" w:hAnsi="Times New Roman" w:cs="Times New Roman"/>
                <w:sz w:val="24"/>
                <w:szCs w:val="24"/>
              </w:rPr>
            </w:pPr>
            <w:r w:rsidRPr="00FB5F06">
              <w:rPr>
                <w:rFonts w:ascii="Times New Roman" w:hAnsi="Times New Roman" w:cs="Times New Roman"/>
                <w:sz w:val="24"/>
                <w:szCs w:val="24"/>
              </w:rPr>
              <w:t>по вопросам, связанным с ликвидацией нарушений прав предпринимателей в сфере строительства и жилищно-коммунального хозяйства</w:t>
            </w:r>
          </w:p>
        </w:tc>
        <w:tc>
          <w:tcPr>
            <w:tcW w:w="1672" w:type="dxa"/>
          </w:tcPr>
          <w:p w:rsidR="005D0723" w:rsidRPr="00FB5F06" w:rsidRDefault="005D0723" w:rsidP="00DA0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1,52</w:t>
            </w:r>
            <w:r w:rsidRPr="00FB5F06">
              <w:rPr>
                <w:rFonts w:ascii="Times New Roman" w:hAnsi="Times New Roman" w:cs="Times New Roman"/>
                <w:b/>
                <w:sz w:val="24"/>
                <w:szCs w:val="24"/>
              </w:rPr>
              <w:t>%</w:t>
            </w:r>
          </w:p>
        </w:tc>
      </w:tr>
    </w:tbl>
    <w:p w:rsidR="00DA0350" w:rsidRDefault="005D0723" w:rsidP="00EE76EF">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E76EF">
        <w:rPr>
          <w:rFonts w:ascii="Times New Roman" w:hAnsi="Times New Roman" w:cs="Times New Roman"/>
          <w:sz w:val="28"/>
          <w:szCs w:val="28"/>
        </w:rPr>
        <w:t xml:space="preserve">4. </w:t>
      </w:r>
      <w:r w:rsidR="00EE76EF" w:rsidRPr="00EE76EF">
        <w:rPr>
          <w:rFonts w:ascii="Times New Roman" w:eastAsia="Times New Roman" w:hAnsi="Times New Roman" w:cs="Times New Roman"/>
          <w:sz w:val="28"/>
          <w:szCs w:val="28"/>
          <w:lang w:eastAsia="ru-RU"/>
        </w:rPr>
        <w:t xml:space="preserve">Согласно </w:t>
      </w:r>
      <w:r w:rsidR="00EE76EF">
        <w:rPr>
          <w:rFonts w:ascii="Times New Roman" w:eastAsia="Times New Roman" w:hAnsi="Times New Roman" w:cs="Times New Roman"/>
          <w:sz w:val="28"/>
          <w:szCs w:val="28"/>
          <w:lang w:eastAsia="ru-RU"/>
        </w:rPr>
        <w:t xml:space="preserve">предоставленной </w:t>
      </w:r>
      <w:r w:rsidR="00EE76EF" w:rsidRPr="00EE76EF">
        <w:rPr>
          <w:rFonts w:ascii="Times New Roman" w:eastAsia="Times New Roman" w:hAnsi="Times New Roman" w:cs="Times New Roman"/>
          <w:sz w:val="28"/>
          <w:szCs w:val="28"/>
          <w:lang w:eastAsia="ru-RU"/>
        </w:rPr>
        <w:t>ин</w:t>
      </w:r>
      <w:r w:rsidR="00DA0350">
        <w:rPr>
          <w:rFonts w:ascii="Times New Roman" w:eastAsia="Times New Roman" w:hAnsi="Times New Roman" w:cs="Times New Roman"/>
          <w:sz w:val="28"/>
          <w:szCs w:val="28"/>
          <w:lang w:eastAsia="ru-RU"/>
        </w:rPr>
        <w:t>формации Прокуратуры Республики</w:t>
      </w:r>
      <w:r w:rsidR="00EE76EF" w:rsidRPr="00EE76EF">
        <w:rPr>
          <w:rFonts w:ascii="Times New Roman" w:eastAsia="Times New Roman" w:hAnsi="Times New Roman" w:cs="Times New Roman"/>
          <w:sz w:val="28"/>
          <w:szCs w:val="28"/>
          <w:lang w:eastAsia="ru-RU"/>
        </w:rPr>
        <w:t xml:space="preserve"> Алтай</w:t>
      </w:r>
      <w:r w:rsidR="00DA0350">
        <w:rPr>
          <w:rFonts w:ascii="Times New Roman" w:eastAsia="Times New Roman" w:hAnsi="Times New Roman" w:cs="Times New Roman"/>
          <w:sz w:val="28"/>
          <w:szCs w:val="28"/>
          <w:lang w:eastAsia="ru-RU"/>
        </w:rPr>
        <w:t>,</w:t>
      </w:r>
      <w:r w:rsidR="00EE76EF" w:rsidRPr="00EE76EF">
        <w:rPr>
          <w:rFonts w:ascii="Times New Roman" w:eastAsia="Times New Roman" w:hAnsi="Times New Roman" w:cs="Times New Roman"/>
          <w:sz w:val="28"/>
          <w:szCs w:val="28"/>
          <w:lang w:eastAsia="ru-RU"/>
        </w:rPr>
        <w:t xml:space="preserve"> органами государственного и муниципального контроля Республики Алтай в 2015 году проведено 4892 проверки (в том числе в отношении малого и среднего бизнеса – 2747), из них внеплановых – 2794 (в том числе в отношении малого и среднего бизнеса – 1639), в том числе 23 согласованных с прокурором.  </w:t>
      </w:r>
    </w:p>
    <w:p w:rsidR="00DA0350" w:rsidRDefault="00EE76EF" w:rsidP="00EE76EF">
      <w:pPr>
        <w:spacing w:after="0" w:line="360"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 xml:space="preserve">По результатам проведенных проверок выдано 2343 предписаний, из них по внеплановым – 1139, в том числе по согласованным с прокурором – 16. К административной ответственности по результатам проверок привлечено 2669 лиц, из них по внеплановым – 1209 лица, в том числе по результатам проверок, согласованных с прокурором – 8. </w:t>
      </w:r>
    </w:p>
    <w:p w:rsidR="00DA0350" w:rsidRDefault="00EE76EF" w:rsidP="00EE76EF">
      <w:pPr>
        <w:spacing w:after="0" w:line="360"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 xml:space="preserve">К административной ответственности по результатам проверок привлечено 338 юридических лиц, из них по внеплановым – 205 лиц, в том числе по результатам проверок, согласованных с прокурором – 5. </w:t>
      </w:r>
    </w:p>
    <w:p w:rsidR="00DA0350" w:rsidRDefault="00EE76EF" w:rsidP="00EE76EF">
      <w:pPr>
        <w:spacing w:after="0" w:line="360"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 xml:space="preserve">Привлечено к дисциплинарной ответственности – 186 лицо, из них по внеплановым – 127 лиц. </w:t>
      </w:r>
    </w:p>
    <w:p w:rsidR="00EE76EF" w:rsidRPr="00EE76EF" w:rsidRDefault="00EE76EF" w:rsidP="00EE76EF">
      <w:pPr>
        <w:spacing w:after="0" w:line="360"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 xml:space="preserve">По результатам проверок принято 64 решений о приостановлении деятельности, из них внеплановым – 48. </w:t>
      </w:r>
    </w:p>
    <w:p w:rsidR="00EE76EF" w:rsidRPr="00EE76EF" w:rsidRDefault="00EE76EF" w:rsidP="00EE76EF">
      <w:pPr>
        <w:spacing w:after="0" w:line="360"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 xml:space="preserve"> Анализ количества проведенных плановых и внеплановых проверок в 2015 году по сравнению с 2014 годом свидетельствует об их уменьшении на </w:t>
      </w:r>
      <w:r w:rsidRPr="00EE76EF">
        <w:rPr>
          <w:rFonts w:ascii="Times New Roman" w:eastAsia="Times New Roman" w:hAnsi="Times New Roman" w:cs="Times New Roman"/>
          <w:sz w:val="28"/>
          <w:szCs w:val="28"/>
          <w:lang w:eastAsia="ru-RU"/>
        </w:rPr>
        <w:lastRenderedPageBreak/>
        <w:t xml:space="preserve">2,31%, в том числе плановых на 17,1%. Тем не менее, на фоне общего снижения наблюдается увеличение количества внеплановых проверок. </w:t>
      </w:r>
    </w:p>
    <w:p w:rsidR="00EE76EF" w:rsidRPr="00EE76EF" w:rsidRDefault="00EE76EF" w:rsidP="00EE76EF">
      <w:pPr>
        <w:spacing w:after="0" w:line="276" w:lineRule="auto"/>
        <w:ind w:firstLine="708"/>
        <w:jc w:val="right"/>
        <w:rPr>
          <w:rFonts w:ascii="Times New Roman" w:eastAsia="Times New Roman" w:hAnsi="Times New Roman" w:cs="Times New Roman"/>
          <w:b/>
          <w:sz w:val="24"/>
          <w:szCs w:val="28"/>
          <w:lang w:eastAsia="ru-RU"/>
        </w:rPr>
      </w:pPr>
      <w:r w:rsidRPr="00EE76EF">
        <w:rPr>
          <w:rFonts w:ascii="Times New Roman" w:eastAsia="Times New Roman" w:hAnsi="Times New Roman" w:cs="Times New Roman"/>
          <w:b/>
          <w:sz w:val="24"/>
          <w:szCs w:val="28"/>
          <w:lang w:eastAsia="ru-RU"/>
        </w:rPr>
        <w:t>Таблица 1.</w:t>
      </w:r>
    </w:p>
    <w:tbl>
      <w:tblPr>
        <w:tblStyle w:val="a4"/>
        <w:tblW w:w="0" w:type="auto"/>
        <w:tblLook w:val="04A0" w:firstRow="1" w:lastRow="0" w:firstColumn="1" w:lastColumn="0" w:noHBand="0" w:noVBand="1"/>
      </w:tblPr>
      <w:tblGrid>
        <w:gridCol w:w="2178"/>
        <w:gridCol w:w="1017"/>
        <w:gridCol w:w="1084"/>
        <w:gridCol w:w="1225"/>
        <w:gridCol w:w="1294"/>
        <w:gridCol w:w="2546"/>
      </w:tblGrid>
      <w:tr w:rsidR="00EE76EF" w:rsidRPr="00EE76EF" w:rsidTr="00DA0350">
        <w:tc>
          <w:tcPr>
            <w:tcW w:w="2179" w:type="dxa"/>
            <w:shd w:val="clear" w:color="auto" w:fill="9CC2E5" w:themeFill="accent1" w:themeFillTint="99"/>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017" w:type="dxa"/>
            <w:shd w:val="clear" w:color="auto" w:fill="9CC2E5" w:themeFill="accent1" w:themeFillTint="99"/>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2012</w:t>
            </w:r>
          </w:p>
        </w:tc>
        <w:tc>
          <w:tcPr>
            <w:tcW w:w="1084" w:type="dxa"/>
            <w:shd w:val="clear" w:color="auto" w:fill="9CC2E5" w:themeFill="accent1" w:themeFillTint="99"/>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2013</w:t>
            </w:r>
          </w:p>
        </w:tc>
        <w:tc>
          <w:tcPr>
            <w:tcW w:w="1225" w:type="dxa"/>
            <w:shd w:val="clear" w:color="auto" w:fill="9CC2E5" w:themeFill="accent1" w:themeFillTint="99"/>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 xml:space="preserve"> 2014</w:t>
            </w:r>
          </w:p>
        </w:tc>
        <w:tc>
          <w:tcPr>
            <w:tcW w:w="1294" w:type="dxa"/>
            <w:shd w:val="clear" w:color="auto" w:fill="9CC2E5" w:themeFill="accent1" w:themeFillTint="99"/>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546" w:type="dxa"/>
            <w:shd w:val="clear" w:color="auto" w:fill="9CC2E5" w:themeFill="accent1" w:themeFillTint="99"/>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179"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017"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3566</w:t>
            </w:r>
          </w:p>
        </w:tc>
        <w:tc>
          <w:tcPr>
            <w:tcW w:w="1084"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2551</w:t>
            </w:r>
          </w:p>
        </w:tc>
        <w:tc>
          <w:tcPr>
            <w:tcW w:w="1225"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2531</w:t>
            </w:r>
          </w:p>
        </w:tc>
        <w:tc>
          <w:tcPr>
            <w:tcW w:w="1294"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2098</w:t>
            </w:r>
          </w:p>
        </w:tc>
        <w:tc>
          <w:tcPr>
            <w:tcW w:w="2546"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- 17,1%</w:t>
            </w:r>
          </w:p>
        </w:tc>
      </w:tr>
      <w:tr w:rsidR="00EE76EF" w:rsidRPr="00EE76EF" w:rsidTr="00DA0350">
        <w:tc>
          <w:tcPr>
            <w:tcW w:w="2179"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017"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2956</w:t>
            </w:r>
          </w:p>
        </w:tc>
        <w:tc>
          <w:tcPr>
            <w:tcW w:w="1084"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2572</w:t>
            </w:r>
          </w:p>
        </w:tc>
        <w:tc>
          <w:tcPr>
            <w:tcW w:w="1225"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2477</w:t>
            </w:r>
          </w:p>
        </w:tc>
        <w:tc>
          <w:tcPr>
            <w:tcW w:w="1294"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2794</w:t>
            </w:r>
          </w:p>
        </w:tc>
        <w:tc>
          <w:tcPr>
            <w:tcW w:w="2546"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+ 12,8%</w:t>
            </w:r>
          </w:p>
        </w:tc>
      </w:tr>
      <w:tr w:rsidR="00EE76EF" w:rsidRPr="00EE76EF" w:rsidTr="00DA0350">
        <w:tc>
          <w:tcPr>
            <w:tcW w:w="2179"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01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6522</w:t>
            </w:r>
          </w:p>
        </w:tc>
        <w:tc>
          <w:tcPr>
            <w:tcW w:w="1084"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5123</w:t>
            </w:r>
          </w:p>
        </w:tc>
        <w:tc>
          <w:tcPr>
            <w:tcW w:w="1225"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5008</w:t>
            </w:r>
          </w:p>
        </w:tc>
        <w:tc>
          <w:tcPr>
            <w:tcW w:w="1294"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4892</w:t>
            </w:r>
          </w:p>
        </w:tc>
        <w:tc>
          <w:tcPr>
            <w:tcW w:w="2546"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- 2,31%</w:t>
            </w:r>
          </w:p>
        </w:tc>
      </w:tr>
    </w:tbl>
    <w:p w:rsidR="00EE76EF" w:rsidRPr="00EE76EF" w:rsidRDefault="00EE76EF" w:rsidP="00EE76EF">
      <w:pPr>
        <w:spacing w:after="0" w:line="276" w:lineRule="auto"/>
        <w:ind w:firstLine="708"/>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jc w:val="both"/>
        <w:rPr>
          <w:rFonts w:ascii="Times New Roman" w:eastAsia="Times New Roman" w:hAnsi="Times New Roman" w:cs="Times New Roman"/>
          <w:sz w:val="28"/>
          <w:szCs w:val="28"/>
          <w:lang w:eastAsia="ru-RU"/>
        </w:rPr>
      </w:pPr>
      <w:r w:rsidRPr="00EE76EF">
        <w:rPr>
          <w:rFonts w:eastAsiaTheme="minorEastAsia"/>
          <w:noProof/>
          <w:lang w:eastAsia="ru-RU"/>
        </w:rPr>
        <w:drawing>
          <wp:inline distT="0" distB="0" distL="0" distR="0" wp14:anchorId="2BBF061A" wp14:editId="5A59E963">
            <wp:extent cx="5899150" cy="2743200"/>
            <wp:effectExtent l="0" t="0" r="63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A0350" w:rsidRDefault="00DA0350" w:rsidP="00DA0350">
      <w:pPr>
        <w:spacing w:after="0"/>
        <w:ind w:firstLine="709"/>
        <w:jc w:val="center"/>
        <w:rPr>
          <w:rFonts w:ascii="Times New Roman" w:eastAsia="Calibri" w:hAnsi="Times New Roman" w:cs="Times New Roman"/>
          <w:sz w:val="24"/>
          <w:szCs w:val="24"/>
        </w:rPr>
      </w:pPr>
      <w:r w:rsidRPr="00DF7EFD">
        <w:rPr>
          <w:rFonts w:ascii="Times New Roman" w:eastAsia="Calibri" w:hAnsi="Times New Roman" w:cs="Times New Roman"/>
          <w:sz w:val="24"/>
          <w:szCs w:val="24"/>
        </w:rPr>
        <w:t>Рис</w:t>
      </w:r>
      <w:r>
        <w:rPr>
          <w:rFonts w:ascii="Times New Roman" w:eastAsia="Calibri" w:hAnsi="Times New Roman" w:cs="Times New Roman"/>
          <w:sz w:val="24"/>
          <w:szCs w:val="24"/>
        </w:rPr>
        <w:t>унок 5</w:t>
      </w:r>
      <w:r w:rsidRPr="00DF7EF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DF7EFD">
        <w:rPr>
          <w:rFonts w:ascii="Times New Roman" w:eastAsia="Calibri" w:hAnsi="Times New Roman" w:cs="Times New Roman"/>
          <w:sz w:val="24"/>
          <w:szCs w:val="24"/>
        </w:rPr>
        <w:t xml:space="preserve"> </w:t>
      </w:r>
      <w:r>
        <w:rPr>
          <w:rFonts w:ascii="Times New Roman" w:eastAsia="Calibri" w:hAnsi="Times New Roman" w:cs="Times New Roman"/>
          <w:sz w:val="24"/>
          <w:szCs w:val="24"/>
        </w:rPr>
        <w:t>Анализ количества проведенных проверок в 2015 г.</w:t>
      </w: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В том числе:</w:t>
      </w: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Информация Федеральной службы государственной регистрации, кадастра и картографии (Росреестр)</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t xml:space="preserve">Таблица 2.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92</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34</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-63,0%</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20</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6</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-70,0%</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112</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40</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-64,2%</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 xml:space="preserve">Информация Министерства сельского хозяйства Республики Алтай. </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lastRenderedPageBreak/>
        <w:t xml:space="preserve">Таблица 3.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8</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+700,0%</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0,0%</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1</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8</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+700,0%</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BA59CB" w:rsidRDefault="00BA59CB" w:rsidP="00EE76EF">
      <w:pPr>
        <w:spacing w:after="0" w:line="276" w:lineRule="auto"/>
        <w:ind w:firstLine="709"/>
        <w:jc w:val="both"/>
        <w:rPr>
          <w:rFonts w:ascii="Times New Roman" w:eastAsia="Times New Roman" w:hAnsi="Times New Roman" w:cs="Times New Roman"/>
          <w:sz w:val="28"/>
          <w:szCs w:val="28"/>
          <w:lang w:eastAsia="ru-RU"/>
        </w:rPr>
      </w:pPr>
    </w:p>
    <w:p w:rsidR="00BA59CB" w:rsidRDefault="00BA59CB" w:rsidP="00EE76EF">
      <w:pPr>
        <w:spacing w:after="0" w:line="276" w:lineRule="auto"/>
        <w:ind w:firstLine="709"/>
        <w:jc w:val="both"/>
        <w:rPr>
          <w:rFonts w:ascii="Times New Roman" w:eastAsia="Times New Roman" w:hAnsi="Times New Roman" w:cs="Times New Roman"/>
          <w:sz w:val="28"/>
          <w:szCs w:val="28"/>
          <w:lang w:eastAsia="ru-RU"/>
        </w:rPr>
      </w:pPr>
    </w:p>
    <w:p w:rsidR="00BA59CB" w:rsidRDefault="00BA59CB"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 xml:space="preserve">Информация Федеральной службы по труду и занятости (Роструд)  </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t xml:space="preserve">Таблица 4.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38</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36</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-5,2%</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156</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200</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+28,2%</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194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236</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+21,6%</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Информация Управления Федеральной налоговой службы по Республике Алтай (УФНС России по Республике Алтай)</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t xml:space="preserve">Таблица 5.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101</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87</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-13,0%</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0,0%</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101</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87</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-13,0%</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 xml:space="preserve">Информация Министерства природных ресурсов, экологии и имущественных отношений Республики Алтай. </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t xml:space="preserve">Таблица 6.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lastRenderedPageBreak/>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68</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38</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-44,1%</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23</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7</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-69,5%</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91</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45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-50,5%</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 xml:space="preserve">Информация Главного управления МЧС России по Республике Алтай </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t xml:space="preserve">Таблица 7.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277</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156</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-43,6%</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121</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108</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-10,7%</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398</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264</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-33,6%</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 xml:space="preserve">Информация Управления федеральной службы по надзору в сфере природопользования (Росприроднадзора) по Алтайскому краю и Республике Алтай. </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t xml:space="preserve">Таблица 8.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18</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-16,6%</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38</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60</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+57,8%</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56</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75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+33,9%</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 xml:space="preserve">Информация Комитета ветеринарии с Госветинспекцией Республики Алтай </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t xml:space="preserve">Таблица 9.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202</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78</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-61,3%</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22</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20</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-9,0%</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222</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98</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-55,8%</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Информация Министерства здравоохранения Республики Алтай</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t xml:space="preserve">Таблица 10.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15</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20</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+33,4%</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100</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105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+5,0%</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115</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125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+8,7%</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Информация Территориального органа Федеральной службы по надзору в сфере здравоохранения по Республике Алтай</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t xml:space="preserve">Таблица 11.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20</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29</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+45,0%</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12</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+500,0%</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22</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41</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+86,3%</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Информация Федеральной службы по надзору в сфере защиты прав потребителей и благополучия человека (Роспотребнадзор)</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t xml:space="preserve">Таблица 12.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680</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411</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-39,5%</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361</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584</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+61,7%</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1041</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995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-4,4%</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Информация Федеральной миграционной службы по Республике Алтай</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t xml:space="preserve">Таблица 13.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7</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-50,0%</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lastRenderedPageBreak/>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37</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6</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-83,7%</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51</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13</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-74,5%</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Информация Министерства внутренних дел Республики Алтай</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t xml:space="preserve">Таблица 14.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11</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12</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+9,0%</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9</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4</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-55,%</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16</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-20,0%</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r w:rsidRPr="00EE76EF">
        <w:rPr>
          <w:rFonts w:ascii="Times New Roman" w:eastAsia="Times New Roman" w:hAnsi="Times New Roman" w:cs="Times New Roman"/>
          <w:sz w:val="28"/>
          <w:szCs w:val="28"/>
          <w:lang w:eastAsia="ru-RU"/>
        </w:rPr>
        <w:t>Информация Комитет по охране, использованию и воспроизводству объектов животного мира</w:t>
      </w:r>
    </w:p>
    <w:p w:rsidR="00EE76EF" w:rsidRPr="00EE76EF" w:rsidRDefault="00EE76EF" w:rsidP="00EE76EF">
      <w:pPr>
        <w:spacing w:after="0" w:line="276" w:lineRule="auto"/>
        <w:ind w:firstLine="709"/>
        <w:jc w:val="right"/>
        <w:rPr>
          <w:rFonts w:ascii="Times New Roman" w:eastAsia="Times New Roman" w:hAnsi="Times New Roman" w:cs="Times New Roman"/>
          <w:b/>
          <w:sz w:val="28"/>
          <w:szCs w:val="28"/>
          <w:lang w:eastAsia="ru-RU"/>
        </w:rPr>
      </w:pPr>
      <w:r w:rsidRPr="00EE76EF">
        <w:rPr>
          <w:rFonts w:ascii="Times New Roman" w:eastAsia="Times New Roman" w:hAnsi="Times New Roman" w:cs="Times New Roman"/>
          <w:b/>
          <w:sz w:val="28"/>
          <w:szCs w:val="28"/>
          <w:lang w:eastAsia="ru-RU"/>
        </w:rPr>
        <w:t xml:space="preserve">Таблица 15. </w:t>
      </w:r>
    </w:p>
    <w:tbl>
      <w:tblPr>
        <w:tblStyle w:val="a4"/>
        <w:tblW w:w="9351" w:type="dxa"/>
        <w:tblLook w:val="04A0" w:firstRow="1" w:lastRow="0" w:firstColumn="1" w:lastColumn="0" w:noHBand="0" w:noVBand="1"/>
      </w:tblPr>
      <w:tblGrid>
        <w:gridCol w:w="2547"/>
        <w:gridCol w:w="1843"/>
        <w:gridCol w:w="2268"/>
        <w:gridCol w:w="2693"/>
      </w:tblGrid>
      <w:tr w:rsidR="00EE76EF" w:rsidRPr="00EE76EF" w:rsidTr="00DA0350">
        <w:tc>
          <w:tcPr>
            <w:tcW w:w="2547"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Год/вид проверок</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2014</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2015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Относит. изменен. 2015 г. к 2014 г.</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8</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-37,5%</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Внеплановые проверки</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0</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0</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0,0%</w:t>
            </w:r>
          </w:p>
        </w:tc>
      </w:tr>
      <w:tr w:rsidR="00EE76EF" w:rsidRPr="00EE76EF" w:rsidTr="00DA0350">
        <w:tc>
          <w:tcPr>
            <w:tcW w:w="2547" w:type="dxa"/>
          </w:tcPr>
          <w:p w:rsidR="00EE76EF" w:rsidRPr="00EE76EF" w:rsidRDefault="00EE76EF" w:rsidP="00EE76EF">
            <w:pPr>
              <w:spacing w:after="200" w:line="276" w:lineRule="auto"/>
              <w:jc w:val="both"/>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Всего</w:t>
            </w:r>
          </w:p>
        </w:tc>
        <w:tc>
          <w:tcPr>
            <w:tcW w:w="1843"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8</w:t>
            </w:r>
          </w:p>
        </w:tc>
        <w:tc>
          <w:tcPr>
            <w:tcW w:w="2268" w:type="dxa"/>
          </w:tcPr>
          <w:p w:rsidR="00EE76EF" w:rsidRPr="00EE76EF" w:rsidRDefault="00EE76EF" w:rsidP="00EE76EF">
            <w:pPr>
              <w:spacing w:after="200" w:line="276" w:lineRule="auto"/>
              <w:jc w:val="center"/>
              <w:rPr>
                <w:rFonts w:ascii="Times New Roman" w:eastAsia="Times New Roman" w:hAnsi="Times New Roman" w:cs="Times New Roman"/>
                <w:b/>
                <w:sz w:val="24"/>
                <w:szCs w:val="24"/>
              </w:rPr>
            </w:pPr>
            <w:r w:rsidRPr="00EE76EF">
              <w:rPr>
                <w:rFonts w:ascii="Times New Roman" w:eastAsia="Times New Roman" w:hAnsi="Times New Roman" w:cs="Times New Roman"/>
                <w:b/>
                <w:sz w:val="24"/>
                <w:szCs w:val="24"/>
              </w:rPr>
              <w:t>5</w:t>
            </w:r>
          </w:p>
        </w:tc>
        <w:tc>
          <w:tcPr>
            <w:tcW w:w="2693" w:type="dxa"/>
          </w:tcPr>
          <w:p w:rsidR="00EE76EF" w:rsidRPr="00EE76EF" w:rsidRDefault="00EE76EF" w:rsidP="00EE76EF">
            <w:pPr>
              <w:spacing w:after="200" w:line="276" w:lineRule="auto"/>
              <w:jc w:val="center"/>
              <w:rPr>
                <w:rFonts w:ascii="Times New Roman" w:eastAsia="Times New Roman" w:hAnsi="Times New Roman" w:cs="Times New Roman"/>
                <w:sz w:val="24"/>
                <w:szCs w:val="24"/>
              </w:rPr>
            </w:pPr>
            <w:r w:rsidRPr="00EE76EF">
              <w:rPr>
                <w:rFonts w:ascii="Times New Roman" w:eastAsia="Times New Roman" w:hAnsi="Times New Roman" w:cs="Times New Roman"/>
                <w:sz w:val="24"/>
                <w:szCs w:val="24"/>
              </w:rPr>
              <w:t>-37,5%</w:t>
            </w:r>
          </w:p>
        </w:tc>
      </w:tr>
    </w:tbl>
    <w:p w:rsidR="00EE76EF" w:rsidRPr="00EE76EF" w:rsidRDefault="00EE76EF" w:rsidP="00EE76EF">
      <w:pPr>
        <w:spacing w:after="0" w:line="276" w:lineRule="auto"/>
        <w:ind w:firstLine="709"/>
        <w:jc w:val="both"/>
        <w:rPr>
          <w:rFonts w:ascii="Times New Roman" w:eastAsia="Times New Roman" w:hAnsi="Times New Roman" w:cs="Times New Roman"/>
          <w:sz w:val="28"/>
          <w:szCs w:val="28"/>
          <w:lang w:eastAsia="ru-RU"/>
        </w:rPr>
      </w:pPr>
    </w:p>
    <w:p w:rsidR="00DA0350" w:rsidRPr="00744FD4" w:rsidRDefault="00744FD4" w:rsidP="00DA0350">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744FD4">
        <w:rPr>
          <w:rFonts w:ascii="Times New Roman" w:eastAsia="Times New Roman" w:hAnsi="Times New Roman" w:cs="Times New Roman"/>
          <w:color w:val="000000"/>
          <w:sz w:val="28"/>
          <w:szCs w:val="27"/>
          <w:lang w:eastAsia="ru-RU"/>
        </w:rPr>
        <w:t xml:space="preserve">5. </w:t>
      </w:r>
      <w:r w:rsidR="00DA0350" w:rsidRPr="00744FD4">
        <w:rPr>
          <w:rFonts w:ascii="Times New Roman" w:eastAsia="Times New Roman" w:hAnsi="Times New Roman" w:cs="Times New Roman"/>
          <w:color w:val="000000"/>
          <w:sz w:val="28"/>
          <w:szCs w:val="27"/>
          <w:lang w:eastAsia="ru-RU"/>
        </w:rPr>
        <w:t xml:space="preserve">Организация взаимодействия с органами </w:t>
      </w:r>
      <w:r w:rsidRPr="00744FD4">
        <w:rPr>
          <w:rFonts w:ascii="Times New Roman" w:eastAsia="Times New Roman" w:hAnsi="Times New Roman" w:cs="Times New Roman"/>
          <w:color w:val="000000"/>
          <w:sz w:val="28"/>
          <w:szCs w:val="27"/>
          <w:lang w:eastAsia="ru-RU"/>
        </w:rPr>
        <w:t xml:space="preserve">власти </w:t>
      </w:r>
      <w:r w:rsidR="00DA0350" w:rsidRPr="00744FD4">
        <w:rPr>
          <w:rFonts w:ascii="Times New Roman" w:eastAsia="Times New Roman" w:hAnsi="Times New Roman" w:cs="Times New Roman"/>
          <w:color w:val="000000"/>
          <w:sz w:val="28"/>
          <w:szCs w:val="27"/>
          <w:lang w:eastAsia="ru-RU"/>
        </w:rPr>
        <w:t>Республики Алтай является необходимым условием эффективной работы Аппарата Уполномоченного по защите прав предпринимателей в Республике Алтай.</w:t>
      </w:r>
    </w:p>
    <w:p w:rsidR="00DA0350" w:rsidRPr="00744FD4" w:rsidRDefault="00DA0350" w:rsidP="00DA0350">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744FD4">
        <w:rPr>
          <w:rFonts w:ascii="Times New Roman" w:eastAsia="Times New Roman" w:hAnsi="Times New Roman" w:cs="Times New Roman"/>
          <w:color w:val="000000"/>
          <w:sz w:val="28"/>
          <w:szCs w:val="27"/>
          <w:lang w:eastAsia="ru-RU"/>
        </w:rPr>
        <w:t>В течении всего 2014-2015 гг. велась целенаправленная работа по налаживанию эффективного взаимодействия с органами прокуратуры Республики Алтай и другими заинтересованными структурами в сфере обеспечения интересов предпринимательства Республики Алтай.</w:t>
      </w:r>
    </w:p>
    <w:p w:rsidR="00DA0350" w:rsidRPr="00744FD4" w:rsidRDefault="00DA0350" w:rsidP="00DA0350">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744FD4">
        <w:rPr>
          <w:rFonts w:ascii="Times New Roman" w:eastAsia="Times New Roman" w:hAnsi="Times New Roman" w:cs="Times New Roman"/>
          <w:color w:val="000000"/>
          <w:sz w:val="28"/>
          <w:szCs w:val="27"/>
          <w:lang w:eastAsia="ru-RU"/>
        </w:rPr>
        <w:t xml:space="preserve">Активное взаимодействие органов Прокуратуры Республики Алтай и Аппарата Уполномоченного по защите прав предпринимателей в Республики Алтай гарантирует обеспечение соблюдения прав и законных интересов </w:t>
      </w:r>
      <w:r w:rsidRPr="00744FD4">
        <w:rPr>
          <w:rFonts w:ascii="Times New Roman" w:eastAsia="Times New Roman" w:hAnsi="Times New Roman" w:cs="Times New Roman"/>
          <w:color w:val="000000"/>
          <w:sz w:val="28"/>
          <w:szCs w:val="27"/>
          <w:lang w:eastAsia="ru-RU"/>
        </w:rPr>
        <w:lastRenderedPageBreak/>
        <w:t>субъектов предпринимательской деятельности при рассмотрении вопросов, касающихся осуществления предпринимательской деятельности.</w:t>
      </w:r>
    </w:p>
    <w:p w:rsidR="00EE76EF" w:rsidRDefault="00DA0350" w:rsidP="00744FD4">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r w:rsidRPr="00744FD4">
        <w:rPr>
          <w:rFonts w:ascii="Times New Roman" w:eastAsia="Times New Roman" w:hAnsi="Times New Roman" w:cs="Times New Roman"/>
          <w:color w:val="000000"/>
          <w:sz w:val="28"/>
          <w:szCs w:val="27"/>
          <w:lang w:eastAsia="ru-RU"/>
        </w:rPr>
        <w:t xml:space="preserve">По результатам осуществления в 2015 году надзора в сфере защиты прав субъектов предпринимательской деятельности органами прокуратуры выявлены 1697 нарушений закона, с целью устранения которых принесено 215 протестов на незаконные правовые акты, по выявленным нарушениям вынесено 372 представления, по результатам которых 220 лиц привлечено к дисциплинарной </w:t>
      </w:r>
      <w:r w:rsidR="00EE127A">
        <w:rPr>
          <w:rFonts w:ascii="Times New Roman" w:eastAsia="Times New Roman" w:hAnsi="Times New Roman" w:cs="Times New Roman"/>
          <w:color w:val="000000"/>
          <w:sz w:val="28"/>
          <w:szCs w:val="27"/>
          <w:lang w:eastAsia="ru-RU"/>
        </w:rPr>
        <w:t>ответственности, о недопустимости нарушений закона предостережено 10 должностных лиц, 30 лиц привлечено к административной ответственности, в суды направлено 35 исковых заявлений, по результатам прокурорских проверок в следственные органы направлено 4 постановления в порядке п.2 ч.2. ст. 37 УПК РФ, возбуждено 2 уголовных дела</w:t>
      </w:r>
      <w:r w:rsidR="00CC2469">
        <w:rPr>
          <w:rFonts w:ascii="Times New Roman" w:eastAsia="Times New Roman" w:hAnsi="Times New Roman" w:cs="Times New Roman"/>
          <w:color w:val="000000"/>
          <w:sz w:val="28"/>
          <w:szCs w:val="27"/>
          <w:lang w:eastAsia="ru-RU"/>
        </w:rPr>
        <w:t>.</w:t>
      </w:r>
    </w:p>
    <w:p w:rsidR="001C5412" w:rsidRDefault="001C5412" w:rsidP="00744FD4">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Выявились незаконные правовые акты, </w:t>
      </w:r>
      <w:r w:rsidR="009A2ACF">
        <w:rPr>
          <w:rFonts w:ascii="Times New Roman" w:eastAsia="Times New Roman" w:hAnsi="Times New Roman" w:cs="Times New Roman"/>
          <w:color w:val="000000"/>
          <w:sz w:val="28"/>
          <w:szCs w:val="27"/>
          <w:lang w:eastAsia="ru-RU"/>
        </w:rPr>
        <w:t>которые</w:t>
      </w:r>
      <w:r>
        <w:rPr>
          <w:rFonts w:ascii="Times New Roman" w:eastAsia="Times New Roman" w:hAnsi="Times New Roman" w:cs="Times New Roman"/>
          <w:color w:val="000000"/>
          <w:sz w:val="28"/>
          <w:szCs w:val="27"/>
          <w:lang w:eastAsia="ru-RU"/>
        </w:rPr>
        <w:t xml:space="preserve"> требуют от </w:t>
      </w:r>
      <w:r w:rsidR="009A2ACF">
        <w:rPr>
          <w:rFonts w:ascii="Times New Roman" w:eastAsia="Times New Roman" w:hAnsi="Times New Roman" w:cs="Times New Roman"/>
          <w:color w:val="000000"/>
          <w:sz w:val="28"/>
          <w:szCs w:val="27"/>
          <w:lang w:eastAsia="ru-RU"/>
        </w:rPr>
        <w:t>предпринимателей</w:t>
      </w:r>
      <w:r>
        <w:rPr>
          <w:rFonts w:ascii="Times New Roman" w:eastAsia="Times New Roman" w:hAnsi="Times New Roman" w:cs="Times New Roman"/>
          <w:color w:val="000000"/>
          <w:sz w:val="28"/>
          <w:szCs w:val="27"/>
          <w:lang w:eastAsia="ru-RU"/>
        </w:rPr>
        <w:t xml:space="preserve"> ряд документов, не предусмотренн</w:t>
      </w:r>
      <w:r w:rsidR="009A2ACF">
        <w:rPr>
          <w:rFonts w:ascii="Times New Roman" w:eastAsia="Times New Roman" w:hAnsi="Times New Roman" w:cs="Times New Roman"/>
          <w:color w:val="000000"/>
          <w:sz w:val="28"/>
          <w:szCs w:val="27"/>
          <w:lang w:eastAsia="ru-RU"/>
        </w:rPr>
        <w:t>ых федеральным законодательством, а также в нарушении закона устанавливают основания для отказа в предоставлении муниципальной услуги; административные регламенты предоставления различного вида услуг не соответствует федеральному законодательству, в частности в сроки оказания услуг, порядков их предоставления, не предусматривает электронный способ подачи заявления; административные регламенты осуществления государственного (муниципального) контроля надзора  противоречат установленным требованиям.</w:t>
      </w:r>
    </w:p>
    <w:p w:rsidR="009A2ACF" w:rsidRDefault="009A2ACF" w:rsidP="00744FD4">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Административное давление оказывалась на предпринимателей при получении разрешений на строительство и предоставлении технических условий подключения (технологического присоединения) к сетям инженерно-технического обеспечения земельного участка.</w:t>
      </w:r>
    </w:p>
    <w:p w:rsidR="009A2ACF" w:rsidRDefault="009A2ACF" w:rsidP="00744FD4">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Органами государственного контроля (надзора), муниципального контроля по-прежнему допускаются нарушения при осуществлении ими мероприятий по контролю.</w:t>
      </w:r>
    </w:p>
    <w:p w:rsidR="009A2ACF" w:rsidRDefault="009A2ACF" w:rsidP="00744FD4">
      <w:pPr>
        <w:shd w:val="clear" w:color="auto" w:fill="FFFFFF"/>
        <w:spacing w:after="0" w:line="360" w:lineRule="auto"/>
        <w:ind w:firstLine="709"/>
        <w:jc w:val="both"/>
        <w:rPr>
          <w:rFonts w:ascii="Times New Roman" w:eastAsia="Times New Roman" w:hAnsi="Times New Roman" w:cs="Times New Roman"/>
          <w:color w:val="000000"/>
          <w:sz w:val="28"/>
          <w:szCs w:val="27"/>
          <w:lang w:eastAsia="ru-RU"/>
        </w:rPr>
      </w:pPr>
      <w:r>
        <w:rPr>
          <w:rFonts w:ascii="Times New Roman" w:eastAsia="Times New Roman" w:hAnsi="Times New Roman" w:cs="Times New Roman"/>
          <w:color w:val="000000"/>
          <w:sz w:val="28"/>
          <w:szCs w:val="27"/>
          <w:lang w:eastAsia="ru-RU"/>
        </w:rPr>
        <w:t xml:space="preserve">В 2015 году </w:t>
      </w:r>
      <w:r w:rsidR="005F79CC">
        <w:rPr>
          <w:rFonts w:ascii="Times New Roman" w:eastAsia="Times New Roman" w:hAnsi="Times New Roman" w:cs="Times New Roman"/>
          <w:color w:val="000000"/>
          <w:sz w:val="28"/>
          <w:szCs w:val="27"/>
          <w:lang w:eastAsia="ru-RU"/>
        </w:rPr>
        <w:t xml:space="preserve">в ходе проверки обеспечения доли участия субъектов малого и среднего предпринимательства в государственных и муниципальных </w:t>
      </w:r>
      <w:r w:rsidR="005F79CC">
        <w:rPr>
          <w:rFonts w:ascii="Times New Roman" w:eastAsia="Times New Roman" w:hAnsi="Times New Roman" w:cs="Times New Roman"/>
          <w:color w:val="000000"/>
          <w:sz w:val="28"/>
          <w:szCs w:val="27"/>
          <w:lang w:eastAsia="ru-RU"/>
        </w:rPr>
        <w:lastRenderedPageBreak/>
        <w:t xml:space="preserve">закупках, а также в закупках государственных корпораций органами прокуратуры выявлены нарушения в виде несоблюдения отдельными заказчиками соответствующего объема закупок у субъектов малого предпринимательства и социально ориентированных некоммерческих организаций; не размещения отчетов; указания неверного совокупного годового объема закупок в размещенных отчетах. </w:t>
      </w:r>
    </w:p>
    <w:p w:rsidR="00502837" w:rsidRPr="00744FD4" w:rsidRDefault="00502837" w:rsidP="00BA59CB">
      <w:pPr>
        <w:shd w:val="clear" w:color="auto" w:fill="FFFFFF"/>
        <w:spacing w:after="0" w:line="360" w:lineRule="auto"/>
        <w:jc w:val="both"/>
        <w:rPr>
          <w:rFonts w:ascii="Times New Roman" w:eastAsia="Times New Roman" w:hAnsi="Times New Roman" w:cs="Times New Roman"/>
          <w:color w:val="000000"/>
          <w:sz w:val="28"/>
          <w:szCs w:val="27"/>
          <w:lang w:eastAsia="ru-RU"/>
        </w:rPr>
      </w:pPr>
    </w:p>
    <w:sectPr w:rsidR="00502837" w:rsidRPr="00744FD4" w:rsidSect="00165ABC">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1EB"/>
    <w:multiLevelType w:val="hybridMultilevel"/>
    <w:tmpl w:val="20361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981B30"/>
    <w:multiLevelType w:val="hybridMultilevel"/>
    <w:tmpl w:val="8ADA6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837"/>
    <w:rsid w:val="00091DB0"/>
    <w:rsid w:val="00165ABC"/>
    <w:rsid w:val="001C5412"/>
    <w:rsid w:val="00213FC4"/>
    <w:rsid w:val="002D074C"/>
    <w:rsid w:val="00332C49"/>
    <w:rsid w:val="00472D12"/>
    <w:rsid w:val="004F39C4"/>
    <w:rsid w:val="00502837"/>
    <w:rsid w:val="0056721C"/>
    <w:rsid w:val="005D0723"/>
    <w:rsid w:val="005F79CC"/>
    <w:rsid w:val="0063394D"/>
    <w:rsid w:val="00714A35"/>
    <w:rsid w:val="00744FD4"/>
    <w:rsid w:val="007F48CF"/>
    <w:rsid w:val="008B2B08"/>
    <w:rsid w:val="0098519A"/>
    <w:rsid w:val="009860D5"/>
    <w:rsid w:val="009A2ACF"/>
    <w:rsid w:val="009E45B4"/>
    <w:rsid w:val="00A45731"/>
    <w:rsid w:val="00A53C4F"/>
    <w:rsid w:val="00A91BC1"/>
    <w:rsid w:val="00AA12D5"/>
    <w:rsid w:val="00AF1547"/>
    <w:rsid w:val="00B03CE0"/>
    <w:rsid w:val="00B31B3D"/>
    <w:rsid w:val="00B50CA2"/>
    <w:rsid w:val="00B6021C"/>
    <w:rsid w:val="00B80B90"/>
    <w:rsid w:val="00BA59CB"/>
    <w:rsid w:val="00CC2469"/>
    <w:rsid w:val="00CE228F"/>
    <w:rsid w:val="00D74566"/>
    <w:rsid w:val="00DA0350"/>
    <w:rsid w:val="00E16E11"/>
    <w:rsid w:val="00E212C5"/>
    <w:rsid w:val="00E81519"/>
    <w:rsid w:val="00EE127A"/>
    <w:rsid w:val="00EE76EF"/>
    <w:rsid w:val="00EF2EFC"/>
    <w:rsid w:val="00F01E11"/>
    <w:rsid w:val="00F07A8F"/>
    <w:rsid w:val="00F10E2A"/>
    <w:rsid w:val="00F62557"/>
    <w:rsid w:val="00F66747"/>
    <w:rsid w:val="00FA5F2A"/>
    <w:rsid w:val="00FD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BE5E9-11DB-4689-B4EF-45CD2BAD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837"/>
    <w:pPr>
      <w:ind w:left="720"/>
      <w:contextualSpacing/>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7F48CF"/>
    <w:pPr>
      <w:spacing w:before="100" w:beforeAutospacing="1" w:after="100" w:afterAutospacing="1" w:line="240" w:lineRule="auto"/>
    </w:pPr>
    <w:rPr>
      <w:rFonts w:ascii="Tahoma" w:eastAsia="Times New Roman" w:hAnsi="Tahoma" w:cs="Times New Roman"/>
      <w:sz w:val="20"/>
      <w:szCs w:val="20"/>
      <w:lang w:val="en-US"/>
    </w:rPr>
  </w:style>
  <w:style w:type="table" w:styleId="a4">
    <w:name w:val="Table Grid"/>
    <w:basedOn w:val="a1"/>
    <w:uiPriority w:val="59"/>
    <w:rsid w:val="00EE76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Lbls>
            <c:dLbl>
              <c:idx val="0"/>
              <c:layout>
                <c:manualLayout>
                  <c:x val="-0.13402876202974628"/>
                  <c:y val="5.4633275007290759E-3"/>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Лист6!$A$2:$A$6</c:f>
              <c:strCache>
                <c:ptCount val="5"/>
                <c:pt idx="0">
                  <c:v>Менее 3% от выручки</c:v>
                </c:pt>
                <c:pt idx="1">
                  <c:v>От 3 до 5%</c:v>
                </c:pt>
                <c:pt idx="2">
                  <c:v>От 5 до 10%</c:v>
                </c:pt>
                <c:pt idx="3">
                  <c:v>От 10 до 20%</c:v>
                </c:pt>
                <c:pt idx="4">
                  <c:v>Более 20%</c:v>
                </c:pt>
              </c:strCache>
            </c:strRef>
          </c:cat>
          <c:val>
            <c:numRef>
              <c:f>Лист6!$B$2:$B$6</c:f>
              <c:numCache>
                <c:formatCode>General</c:formatCode>
                <c:ptCount val="5"/>
                <c:pt idx="0">
                  <c:v>0</c:v>
                </c:pt>
                <c:pt idx="1">
                  <c:v>4.2</c:v>
                </c:pt>
                <c:pt idx="2">
                  <c:v>10.4</c:v>
                </c:pt>
                <c:pt idx="3">
                  <c:v>33.4</c:v>
                </c:pt>
                <c:pt idx="4">
                  <c:v>52</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4.4923665791776049E-2"/>
          <c:y val="0.74355314960629926"/>
          <c:w val="0.92959711286089242"/>
          <c:h val="0.2286690726159230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chemeClr val="accent1">
                    <a:lumMod val="50000"/>
                  </a:schemeClr>
                </a:solidFill>
                <a:latin typeface="Times New Roman" panose="02020603050405020304" pitchFamily="18" charset="0"/>
                <a:cs typeface="Times New Roman" panose="02020603050405020304" pitchFamily="18" charset="0"/>
              </a:rPr>
              <a:t>Анализ обращений за 2014-2015 гг.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6"/>
          <c:order val="6"/>
          <c:tx>
            <c:strRef>
              <c:f>Лист1!$A$9</c:f>
              <c:strCache>
                <c:ptCount val="1"/>
                <c:pt idx="0">
                  <c:v>2015 год</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Лист1!$B$1:$F$2</c:f>
              <c:strCache>
                <c:ptCount val="5"/>
                <c:pt idx="0">
                  <c:v>Всего</c:v>
                </c:pt>
                <c:pt idx="1">
                  <c:v>Письменные обращения</c:v>
                </c:pt>
                <c:pt idx="2">
                  <c:v>Устные</c:v>
                </c:pt>
                <c:pt idx="3">
                  <c:v>Индивидуальные</c:v>
                </c:pt>
                <c:pt idx="4">
                  <c:v>Коллективные</c:v>
                </c:pt>
              </c:strCache>
            </c:strRef>
          </c:cat>
          <c:val>
            <c:numRef>
              <c:f>Лист1!$B$9:$F$9</c:f>
              <c:numCache>
                <c:formatCode>General</c:formatCode>
                <c:ptCount val="5"/>
                <c:pt idx="0">
                  <c:v>197</c:v>
                </c:pt>
                <c:pt idx="1">
                  <c:v>56</c:v>
                </c:pt>
                <c:pt idx="2">
                  <c:v>141</c:v>
                </c:pt>
                <c:pt idx="3">
                  <c:v>196</c:v>
                </c:pt>
                <c:pt idx="4">
                  <c:v>1</c:v>
                </c:pt>
              </c:numCache>
            </c:numRef>
          </c:val>
        </c:ser>
        <c:ser>
          <c:idx val="7"/>
          <c:order val="7"/>
          <c:tx>
            <c:strRef>
              <c:f>Лист1!$A$10</c:f>
              <c:strCache>
                <c:ptCount val="1"/>
                <c:pt idx="0">
                  <c:v>Доля</c:v>
                </c:pt>
              </c:strCache>
            </c:strRef>
          </c:tx>
          <c:spPr>
            <a:solidFill>
              <a:schemeClr val="accent2">
                <a:lumMod val="60000"/>
              </a:schemeClr>
            </a:solidFill>
            <a:ln>
              <a:noFill/>
            </a:ln>
            <a:effectLst/>
          </c:spPr>
          <c:invertIfNegative val="0"/>
          <c:cat>
            <c:strRef>
              <c:f>Лист1!$B$1:$F$2</c:f>
              <c:strCache>
                <c:ptCount val="5"/>
                <c:pt idx="0">
                  <c:v>Всего</c:v>
                </c:pt>
                <c:pt idx="1">
                  <c:v>Письменные обращения</c:v>
                </c:pt>
                <c:pt idx="2">
                  <c:v>Устные</c:v>
                </c:pt>
                <c:pt idx="3">
                  <c:v>Индивидуальные</c:v>
                </c:pt>
                <c:pt idx="4">
                  <c:v>Коллективные</c:v>
                </c:pt>
              </c:strCache>
            </c:strRef>
          </c:cat>
          <c:val>
            <c:numRef>
              <c:f>Лист1!$B$10:$F$10</c:f>
            </c:numRef>
          </c:val>
        </c:ser>
        <c:ser>
          <c:idx val="8"/>
          <c:order val="8"/>
          <c:tx>
            <c:strRef>
              <c:f>Лист1!$A$11</c:f>
              <c:strCache>
                <c:ptCount val="1"/>
                <c:pt idx="0">
                  <c:v>2014 год</c:v>
                </c:pt>
              </c:strCache>
            </c:strRef>
          </c:tx>
          <c:spPr>
            <a:solidFill>
              <a:schemeClr val="bg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Лист1!$B$1:$F$2</c:f>
              <c:strCache>
                <c:ptCount val="5"/>
                <c:pt idx="0">
                  <c:v>Всего</c:v>
                </c:pt>
                <c:pt idx="1">
                  <c:v>Письменные обращения</c:v>
                </c:pt>
                <c:pt idx="2">
                  <c:v>Устные</c:v>
                </c:pt>
                <c:pt idx="3">
                  <c:v>Индивидуальные</c:v>
                </c:pt>
                <c:pt idx="4">
                  <c:v>Коллективные</c:v>
                </c:pt>
              </c:strCache>
            </c:strRef>
          </c:cat>
          <c:val>
            <c:numRef>
              <c:f>Лист1!$B$11:$F$11</c:f>
              <c:numCache>
                <c:formatCode>General</c:formatCode>
                <c:ptCount val="5"/>
                <c:pt idx="0">
                  <c:v>180</c:v>
                </c:pt>
                <c:pt idx="1">
                  <c:v>60</c:v>
                </c:pt>
                <c:pt idx="2">
                  <c:v>120</c:v>
                </c:pt>
                <c:pt idx="3">
                  <c:v>164</c:v>
                </c:pt>
                <c:pt idx="4">
                  <c:v>16</c:v>
                </c:pt>
              </c:numCache>
            </c:numRef>
          </c:val>
        </c:ser>
        <c:dLbls>
          <c:showLegendKey val="0"/>
          <c:showVal val="0"/>
          <c:showCatName val="0"/>
          <c:showSerName val="0"/>
          <c:showPercent val="0"/>
          <c:showBubbleSize val="0"/>
        </c:dLbls>
        <c:gapWidth val="182"/>
        <c:axId val="615460336"/>
        <c:axId val="615462688"/>
        <c:extLst>
          <c:ext xmlns:c15="http://schemas.microsoft.com/office/drawing/2012/chart" uri="{02D57815-91ED-43cb-92C2-25804820EDAC}">
            <c15:filteredBarSeries>
              <c15:ser>
                <c:idx val="0"/>
                <c:order val="0"/>
                <c:tx>
                  <c:strRef>
                    <c:extLst>
                      <c:ext uri="{02D57815-91ED-43cb-92C2-25804820EDAC}">
                        <c15:formulaRef>
                          <c15:sqref>Лист1!$A$3</c15:sqref>
                        </c15:formulaRef>
                      </c:ext>
                    </c:extLst>
                    <c:strCache>
                      <c:ptCount val="1"/>
                    </c:strCache>
                  </c:strRef>
                </c:tx>
                <c:spPr>
                  <a:solidFill>
                    <a:schemeClr val="accent1"/>
                  </a:solidFill>
                  <a:ln>
                    <a:noFill/>
                  </a:ln>
                  <a:effectLst/>
                </c:spPr>
                <c:invertIfNegative val="0"/>
                <c:cat>
                  <c:strRef>
                    <c:extLst>
                      <c:ext uri="{02D57815-91ED-43cb-92C2-25804820EDAC}">
                        <c15:formulaRef>
                          <c15:sqref>Лист1!$B$1:$F$2</c15:sqref>
                        </c15:formulaRef>
                      </c:ext>
                    </c:extLst>
                    <c:strCache>
                      <c:ptCount val="5"/>
                      <c:pt idx="0">
                        <c:v>Всего</c:v>
                      </c:pt>
                      <c:pt idx="1">
                        <c:v>Письменные обращения</c:v>
                      </c:pt>
                      <c:pt idx="2">
                        <c:v>Устные</c:v>
                      </c:pt>
                      <c:pt idx="3">
                        <c:v>Индивидуальные</c:v>
                      </c:pt>
                      <c:pt idx="4">
                        <c:v>Коллективные</c:v>
                      </c:pt>
                    </c:strCache>
                  </c:strRef>
                </c:cat>
                <c:val>
                  <c:numRef>
                    <c:extLst>
                      <c:ext uri="{02D57815-91ED-43cb-92C2-25804820EDAC}">
                        <c15:formulaRef>
                          <c15:sqref>Лист1!$B$3:$F$3</c15:sqref>
                        </c15:formulaRef>
                      </c:ext>
                    </c:extLst>
                    <c:numCache>
                      <c:formatCode>General</c:formatCode>
                      <c:ptCount val="5"/>
                    </c:numCache>
                  </c:numRef>
                </c:val>
              </c15:ser>
            </c15:filteredBarSeries>
            <c15:filteredBarSeries>
              <c15:ser>
                <c:idx val="1"/>
                <c:order val="1"/>
                <c:tx>
                  <c:strRef>
                    <c:extLst xmlns:c15="http://schemas.microsoft.com/office/drawing/2012/chart">
                      <c:ext xmlns:c15="http://schemas.microsoft.com/office/drawing/2012/chart" uri="{02D57815-91ED-43cb-92C2-25804820EDAC}">
                        <c15:formulaRef>
                          <c15:sqref>Лист1!$A$4</c15:sqref>
                        </c15:formulaRef>
                      </c:ext>
                    </c:extLst>
                    <c:strCache>
                      <c:ptCount val="1"/>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Лист1!$B$1:$F$2</c15:sqref>
                        </c15:formulaRef>
                      </c:ext>
                    </c:extLst>
                    <c:strCache>
                      <c:ptCount val="5"/>
                      <c:pt idx="0">
                        <c:v>Всего</c:v>
                      </c:pt>
                      <c:pt idx="1">
                        <c:v>Письменные обращения</c:v>
                      </c:pt>
                      <c:pt idx="2">
                        <c:v>Устные</c:v>
                      </c:pt>
                      <c:pt idx="3">
                        <c:v>Индивидуальные</c:v>
                      </c:pt>
                      <c:pt idx="4">
                        <c:v>Коллективные</c:v>
                      </c:pt>
                    </c:strCache>
                  </c:strRef>
                </c:cat>
                <c:val>
                  <c:numRef>
                    <c:extLst xmlns:c15="http://schemas.microsoft.com/office/drawing/2012/chart">
                      <c:ext xmlns:c15="http://schemas.microsoft.com/office/drawing/2012/chart" uri="{02D57815-91ED-43cb-92C2-25804820EDAC}">
                        <c15:formulaRef>
                          <c15:sqref>Лист1!$B$4:$F$4</c15:sqref>
                        </c15:formulaRef>
                      </c:ext>
                    </c:extLst>
                    <c:numCache>
                      <c:formatCode>General</c:formatCode>
                      <c:ptCount val="5"/>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Лист1!$A$5</c15:sqref>
                        </c15:formulaRef>
                      </c:ext>
                    </c:extLst>
                    <c:strCache>
                      <c:ptCount val="1"/>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Лист1!$B$1:$F$2</c15:sqref>
                        </c15:formulaRef>
                      </c:ext>
                    </c:extLst>
                    <c:strCache>
                      <c:ptCount val="5"/>
                      <c:pt idx="0">
                        <c:v>Всего</c:v>
                      </c:pt>
                      <c:pt idx="1">
                        <c:v>Письменные обращения</c:v>
                      </c:pt>
                      <c:pt idx="2">
                        <c:v>Устные</c:v>
                      </c:pt>
                      <c:pt idx="3">
                        <c:v>Индивидуальные</c:v>
                      </c:pt>
                      <c:pt idx="4">
                        <c:v>Коллективные</c:v>
                      </c:pt>
                    </c:strCache>
                  </c:strRef>
                </c:cat>
                <c:val>
                  <c:numRef>
                    <c:extLst xmlns:c15="http://schemas.microsoft.com/office/drawing/2012/chart">
                      <c:ext xmlns:c15="http://schemas.microsoft.com/office/drawing/2012/chart" uri="{02D57815-91ED-43cb-92C2-25804820EDAC}">
                        <c15:formulaRef>
                          <c15:sqref>Лист1!$B$5:$F$5</c15:sqref>
                        </c15:formulaRef>
                      </c:ext>
                    </c:extLst>
                    <c:numCache>
                      <c:formatCode>General</c:formatCode>
                      <c:ptCount val="5"/>
                    </c:numCache>
                  </c:numRef>
                </c:val>
              </c15:ser>
            </c15:filteredBarSeries>
            <c15:filteredBarSeries>
              <c15:ser>
                <c:idx val="3"/>
                <c:order val="3"/>
                <c:tx>
                  <c:strRef>
                    <c:extLst xmlns:c15="http://schemas.microsoft.com/office/drawing/2012/chart">
                      <c:ext xmlns:c15="http://schemas.microsoft.com/office/drawing/2012/chart" uri="{02D57815-91ED-43cb-92C2-25804820EDAC}">
                        <c15:formulaRef>
                          <c15:sqref>Лист1!$A$6</c15:sqref>
                        </c15:formulaRef>
                      </c:ext>
                    </c:extLst>
                    <c:strCache>
                      <c:ptCount val="1"/>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Лист1!$B$1:$F$2</c15:sqref>
                        </c15:formulaRef>
                      </c:ext>
                    </c:extLst>
                    <c:strCache>
                      <c:ptCount val="5"/>
                      <c:pt idx="0">
                        <c:v>Всего</c:v>
                      </c:pt>
                      <c:pt idx="1">
                        <c:v>Письменные обращения</c:v>
                      </c:pt>
                      <c:pt idx="2">
                        <c:v>Устные</c:v>
                      </c:pt>
                      <c:pt idx="3">
                        <c:v>Индивидуальные</c:v>
                      </c:pt>
                      <c:pt idx="4">
                        <c:v>Коллективные</c:v>
                      </c:pt>
                    </c:strCache>
                  </c:strRef>
                </c:cat>
                <c:val>
                  <c:numRef>
                    <c:extLst xmlns:c15="http://schemas.microsoft.com/office/drawing/2012/chart">
                      <c:ext xmlns:c15="http://schemas.microsoft.com/office/drawing/2012/chart" uri="{02D57815-91ED-43cb-92C2-25804820EDAC}">
                        <c15:formulaRef>
                          <c15:sqref>Лист1!$B$6:$F$6</c15:sqref>
                        </c15:formulaRef>
                      </c:ext>
                    </c:extLst>
                    <c:numCache>
                      <c:formatCode>General</c:formatCode>
                      <c:ptCount val="5"/>
                    </c:numCache>
                  </c:numRef>
                </c:val>
              </c15:ser>
            </c15:filteredBarSeries>
            <c15:filteredBarSeries>
              <c15:ser>
                <c:idx val="4"/>
                <c:order val="4"/>
                <c:tx>
                  <c:strRef>
                    <c:extLst xmlns:c15="http://schemas.microsoft.com/office/drawing/2012/chart">
                      <c:ext xmlns:c15="http://schemas.microsoft.com/office/drawing/2012/chart" uri="{02D57815-91ED-43cb-92C2-25804820EDAC}">
                        <c15:formulaRef>
                          <c15:sqref>Лист1!$A$7</c15:sqref>
                        </c15:formulaRef>
                      </c:ext>
                    </c:extLst>
                    <c:strCache>
                      <c:ptCount val="1"/>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Лист1!$B$1:$F$2</c15:sqref>
                        </c15:formulaRef>
                      </c:ext>
                    </c:extLst>
                    <c:strCache>
                      <c:ptCount val="5"/>
                      <c:pt idx="0">
                        <c:v>Всего</c:v>
                      </c:pt>
                      <c:pt idx="1">
                        <c:v>Письменные обращения</c:v>
                      </c:pt>
                      <c:pt idx="2">
                        <c:v>Устные</c:v>
                      </c:pt>
                      <c:pt idx="3">
                        <c:v>Индивидуальные</c:v>
                      </c:pt>
                      <c:pt idx="4">
                        <c:v>Коллективные</c:v>
                      </c:pt>
                    </c:strCache>
                  </c:strRef>
                </c:cat>
                <c:val>
                  <c:numRef>
                    <c:extLst xmlns:c15="http://schemas.microsoft.com/office/drawing/2012/chart">
                      <c:ext xmlns:c15="http://schemas.microsoft.com/office/drawing/2012/chart" uri="{02D57815-91ED-43cb-92C2-25804820EDAC}">
                        <c15:formulaRef>
                          <c15:sqref>Лист1!$B$7:$F$7</c15:sqref>
                        </c15:formulaRef>
                      </c:ext>
                    </c:extLst>
                    <c:numCache>
                      <c:formatCode>General</c:formatCode>
                      <c:ptCount val="5"/>
                    </c:numCache>
                  </c:numRef>
                </c:val>
              </c15:ser>
            </c15:filteredBarSeries>
            <c15:filteredBarSeries>
              <c15:ser>
                <c:idx val="5"/>
                <c:order val="5"/>
                <c:tx>
                  <c:strRef>
                    <c:extLst xmlns:c15="http://schemas.microsoft.com/office/drawing/2012/chart">
                      <c:ext xmlns:c15="http://schemas.microsoft.com/office/drawing/2012/chart" uri="{02D57815-91ED-43cb-92C2-25804820EDAC}">
                        <c15:formulaRef>
                          <c15:sqref>Лист1!$A$8</c15:sqref>
                        </c15:formulaRef>
                      </c:ext>
                    </c:extLst>
                    <c:strCache>
                      <c:ptCount val="1"/>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Лист1!$B$1:$F$2</c15:sqref>
                        </c15:formulaRef>
                      </c:ext>
                    </c:extLst>
                    <c:strCache>
                      <c:ptCount val="5"/>
                      <c:pt idx="0">
                        <c:v>Всего</c:v>
                      </c:pt>
                      <c:pt idx="1">
                        <c:v>Письменные обращения</c:v>
                      </c:pt>
                      <c:pt idx="2">
                        <c:v>Устные</c:v>
                      </c:pt>
                      <c:pt idx="3">
                        <c:v>Индивидуальные</c:v>
                      </c:pt>
                      <c:pt idx="4">
                        <c:v>Коллективные</c:v>
                      </c:pt>
                    </c:strCache>
                  </c:strRef>
                </c:cat>
                <c:val>
                  <c:numRef>
                    <c:extLst xmlns:c15="http://schemas.microsoft.com/office/drawing/2012/chart">
                      <c:ext xmlns:c15="http://schemas.microsoft.com/office/drawing/2012/chart" uri="{02D57815-91ED-43cb-92C2-25804820EDAC}">
                        <c15:formulaRef>
                          <c15:sqref>Лист1!$B$8:$F$8</c15:sqref>
                        </c15:formulaRef>
                      </c:ext>
                    </c:extLst>
                    <c:numCache>
                      <c:formatCode>General</c:formatCode>
                      <c:ptCount val="5"/>
                    </c:numCache>
                  </c:numRef>
                </c:val>
              </c15:ser>
            </c15:filteredBarSeries>
          </c:ext>
        </c:extLst>
      </c:barChart>
      <c:catAx>
        <c:axId val="615460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accent1">
                    <a:lumMod val="75000"/>
                  </a:schemeClr>
                </a:solidFill>
                <a:latin typeface="+mn-lt"/>
                <a:ea typeface="+mn-ea"/>
                <a:cs typeface="+mn-cs"/>
              </a:defRPr>
            </a:pPr>
            <a:endParaRPr lang="ru-RU"/>
          </a:p>
        </c:txPr>
        <c:crossAx val="615462688"/>
        <c:crosses val="autoZero"/>
        <c:auto val="1"/>
        <c:lblAlgn val="ctr"/>
        <c:lblOffset val="100"/>
        <c:noMultiLvlLbl val="0"/>
      </c:catAx>
      <c:valAx>
        <c:axId val="615462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615460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w="101600" prst="riblet"/>
      <a:bevelB w="101600" prst="riblet"/>
    </a:sp3d>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Классификация обращений по субъектам в 2015 г.</a:t>
            </a:r>
            <a:endParaRPr lang="ru-RU" sz="12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Лист1!$A$2</c:f>
              <c:strCache>
                <c:ptCount val="1"/>
                <c:pt idx="0">
                  <c:v>2015 год</c:v>
                </c:pt>
              </c:strCache>
            </c:strRef>
          </c:tx>
          <c:explosion val="3"/>
          <c:dPt>
            <c:idx val="0"/>
            <c:bubble3D val="0"/>
            <c:explosion val="32"/>
            <c:spPr>
              <a:solidFill>
                <a:schemeClr val="accent1"/>
              </a:solidFill>
              <a:ln>
                <a:noFill/>
              </a:ln>
              <a:effectLst>
                <a:outerShdw blurRad="254000" sx="102000" sy="102000" algn="ctr" rotWithShape="0">
                  <a:prstClr val="black">
                    <a:alpha val="20000"/>
                  </a:prstClr>
                </a:outerShdw>
              </a:effectLst>
              <a:sp3d/>
            </c:spPr>
          </c:dPt>
          <c:dPt>
            <c:idx val="1"/>
            <c:bubble3D val="0"/>
            <c:explosion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dLbl>
              <c:idx val="0"/>
              <c:layout>
                <c:manualLayout>
                  <c:x val="-0.20268329509755761"/>
                  <c:y val="-0.25064316960379945"/>
                </c:manualLayout>
              </c:layout>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1"/>
              <c:showBubbleSize val="0"/>
              <c:extLst>
                <c:ext xmlns:c15="http://schemas.microsoft.com/office/drawing/2012/chart" uri="{CE6537A1-D6FC-4f65-9D91-7224C49458BB}">
                  <c15:layout>
                    <c:manualLayout>
                      <c:w val="0.16407555809959928"/>
                      <c:h val="0.14901603966170893"/>
                    </c:manualLayout>
                  </c15:layout>
                </c:ext>
              </c:extLst>
            </c:dLbl>
            <c:dLbl>
              <c:idx val="1"/>
              <c:layout>
                <c:manualLayout>
                  <c:x val="8.2515899021494671E-2"/>
                  <c:y val="0.12021997250343704"/>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2"/>
              <c:layout>
                <c:manualLayout>
                  <c:x val="3.2656567614222809E-2"/>
                  <c:y val="1.2951714369037204E-3"/>
                </c:manualLayout>
              </c:layout>
              <c:dLblPos val="bestFit"/>
              <c:showLegendKey val="0"/>
              <c:showVal val="1"/>
              <c:showCatName val="0"/>
              <c:showSerName val="0"/>
              <c:showPercent val="1"/>
              <c:showBubbleSize val="0"/>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Лист1!$B$1:$I$1</c:f>
              <c:strCache>
                <c:ptCount val="3"/>
                <c:pt idx="0">
                  <c:v>ИП</c:v>
                </c:pt>
                <c:pt idx="1">
                  <c:v>Юр. лица</c:v>
                </c:pt>
                <c:pt idx="2">
                  <c:v>Общ. орган. предпринимателей</c:v>
                </c:pt>
              </c:strCache>
            </c:strRef>
          </c:cat>
          <c:val>
            <c:numRef>
              <c:f>Лист1!$B$2:$I$2</c:f>
              <c:numCache>
                <c:formatCode>General</c:formatCode>
                <c:ptCount val="3"/>
                <c:pt idx="0">
                  <c:v>149</c:v>
                </c:pt>
                <c:pt idx="1">
                  <c:v>47</c:v>
                </c:pt>
                <c:pt idx="2">
                  <c:v>1</c:v>
                </c:pt>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6830787536789726"/>
          <c:y val="0.17904695246427535"/>
          <c:w val="0.3179542883413185"/>
          <c:h val="0.705292505103528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a:scene3d>
      <a:camera prst="orthographicFront"/>
      <a:lightRig rig="threePt" dir="t"/>
    </a:scene3d>
    <a:sp3d>
      <a:bevelT/>
      <a:bevelB w="101600" prst="riblet"/>
    </a:sp3d>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ru-RU" sz="1400" b="1" i="0" u="none" strike="noStrike" cap="none" baseline="0">
                <a:solidFill>
                  <a:schemeClr val="tx2">
                    <a:lumMod val="75000"/>
                  </a:schemeClr>
                </a:solidFill>
                <a:effectLst/>
                <a:latin typeface="Times New Roman" panose="02020603050405020304" pitchFamily="18" charset="0"/>
                <a:cs typeface="Times New Roman" panose="02020603050405020304" pitchFamily="18" charset="0"/>
              </a:rPr>
              <a:t>Структура обращений по территориальной </a:t>
            </a:r>
          </a:p>
          <a:p>
            <a:pPr>
              <a:defRPr/>
            </a:pPr>
            <a:r>
              <a:rPr lang="ru-RU" sz="1400" b="1" i="0" u="none" strike="noStrike" cap="none" baseline="0">
                <a:solidFill>
                  <a:schemeClr val="tx2">
                    <a:lumMod val="75000"/>
                  </a:schemeClr>
                </a:solidFill>
                <a:effectLst/>
                <a:latin typeface="Times New Roman" panose="02020603050405020304" pitchFamily="18" charset="0"/>
                <a:cs typeface="Times New Roman" panose="02020603050405020304" pitchFamily="18" charset="0"/>
              </a:rPr>
              <a:t>принадлежности в 2015 г.</a:t>
            </a:r>
            <a:endParaRPr lang="ru-RU" b="1">
              <a:solidFill>
                <a:schemeClr val="tx2">
                  <a:lumMod val="75000"/>
                </a:scheme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ru-RU"/>
        </a:p>
      </c:txPr>
    </c:title>
    <c:autoTitleDeleted val="0"/>
    <c:plotArea>
      <c:layout>
        <c:manualLayout>
          <c:layoutTarget val="inner"/>
          <c:xMode val="edge"/>
          <c:yMode val="edge"/>
          <c:x val="0.22136659816437848"/>
          <c:y val="0.21949658543866851"/>
          <c:w val="0.74485693605211489"/>
          <c:h val="0.68219908233283277"/>
        </c:manualLayout>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7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Лист2!$D$5:$D$15</c:f>
              <c:strCache>
                <c:ptCount val="11"/>
                <c:pt idx="0">
                  <c:v>г. Горно-Алтайск</c:v>
                </c:pt>
                <c:pt idx="1">
                  <c:v>Турочакский район</c:v>
                </c:pt>
                <c:pt idx="2">
                  <c:v>Майминский район</c:v>
                </c:pt>
                <c:pt idx="3">
                  <c:v>Усть-Коксинский район</c:v>
                </c:pt>
                <c:pt idx="4">
                  <c:v>Онгудайский район</c:v>
                </c:pt>
                <c:pt idx="5">
                  <c:v>Кош-Агачский район</c:v>
                </c:pt>
                <c:pt idx="6">
                  <c:v>Улаганский район</c:v>
                </c:pt>
                <c:pt idx="7">
                  <c:v>Шебалинский район</c:v>
                </c:pt>
                <c:pt idx="8">
                  <c:v>Чемальский район</c:v>
                </c:pt>
                <c:pt idx="9">
                  <c:v>Усть-Канский район</c:v>
                </c:pt>
                <c:pt idx="10">
                  <c:v>Чойский район</c:v>
                </c:pt>
              </c:strCache>
            </c:strRef>
          </c:cat>
          <c:val>
            <c:numRef>
              <c:f>Лист2!$E$5:$E$15</c:f>
              <c:numCache>
                <c:formatCode>0.0</c:formatCode>
                <c:ptCount val="11"/>
                <c:pt idx="0">
                  <c:v>31.98</c:v>
                </c:pt>
                <c:pt idx="1">
                  <c:v>17.77</c:v>
                </c:pt>
                <c:pt idx="2">
                  <c:v>11.17</c:v>
                </c:pt>
                <c:pt idx="3">
                  <c:v>8.6300000000000008</c:v>
                </c:pt>
                <c:pt idx="4">
                  <c:v>6.09</c:v>
                </c:pt>
                <c:pt idx="5">
                  <c:v>5.58</c:v>
                </c:pt>
                <c:pt idx="6">
                  <c:v>5.58</c:v>
                </c:pt>
                <c:pt idx="7">
                  <c:v>4.57</c:v>
                </c:pt>
                <c:pt idx="8">
                  <c:v>4.57</c:v>
                </c:pt>
                <c:pt idx="9">
                  <c:v>2.54</c:v>
                </c:pt>
                <c:pt idx="10">
                  <c:v>1.52</c:v>
                </c:pt>
              </c:numCache>
            </c:numRef>
          </c:val>
        </c:ser>
        <c:dLbls>
          <c:dLblPos val="inEnd"/>
          <c:showLegendKey val="0"/>
          <c:showVal val="1"/>
          <c:showCatName val="0"/>
          <c:showSerName val="0"/>
          <c:showPercent val="0"/>
          <c:showBubbleSize val="0"/>
        </c:dLbls>
        <c:gapWidth val="100"/>
        <c:axId val="408382672"/>
        <c:axId val="408381496"/>
      </c:barChart>
      <c:catAx>
        <c:axId val="4083826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2">
                    <a:lumMod val="75000"/>
                  </a:schemeClr>
                </a:solidFill>
                <a:latin typeface="+mn-lt"/>
                <a:ea typeface="+mn-ea"/>
                <a:cs typeface="+mn-cs"/>
              </a:defRPr>
            </a:pPr>
            <a:endParaRPr lang="ru-RU"/>
          </a:p>
        </c:txPr>
        <c:crossAx val="408381496"/>
        <c:crosses val="autoZero"/>
        <c:auto val="1"/>
        <c:lblAlgn val="ctr"/>
        <c:lblOffset val="100"/>
        <c:noMultiLvlLbl val="0"/>
      </c:catAx>
      <c:valAx>
        <c:axId val="408381496"/>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08382672"/>
        <c:crosses val="autoZero"/>
        <c:crossBetween val="between"/>
      </c:valAx>
      <c:spPr>
        <a:noFill/>
        <a:ln>
          <a:noFill/>
        </a:ln>
        <a:effectLst/>
      </c:spPr>
    </c:plotArea>
    <c:plotVisOnly val="1"/>
    <c:dispBlanksAs val="gap"/>
    <c:showDLblsOverMax val="0"/>
  </c:chart>
  <c:spPr>
    <a:gradFill>
      <a:gsLst>
        <a:gs pos="0">
          <a:schemeClr val="accent1">
            <a:lumMod val="5000"/>
            <a:lumOff val="95000"/>
          </a:schemeClr>
        </a:gs>
        <a:gs pos="69000">
          <a:schemeClr val="accent1">
            <a:lumMod val="45000"/>
            <a:lumOff val="55000"/>
          </a:schemeClr>
        </a:gs>
        <a:gs pos="83000">
          <a:schemeClr val="accent1">
            <a:lumMod val="45000"/>
            <a:lumOff val="55000"/>
          </a:schemeClr>
        </a:gs>
        <a:gs pos="46000">
          <a:schemeClr val="accent1">
            <a:lumMod val="30000"/>
            <a:lumOff val="70000"/>
          </a:schemeClr>
        </a:gs>
      </a:gsLst>
      <a:lin ang="5400000" scaled="1"/>
    </a:gradFill>
    <a:ln w="9525" cap="flat" cmpd="sng" algn="ctr">
      <a:solidFill>
        <a:schemeClr val="tx1">
          <a:lumMod val="15000"/>
          <a:lumOff val="85000"/>
        </a:schemeClr>
      </a:solidFill>
      <a:round/>
    </a:ln>
    <a:effectLst/>
    <a:scene3d>
      <a:camera prst="orthographicFront"/>
      <a:lightRig rig="threePt" dir="t"/>
    </a:scene3d>
    <a:sp3d>
      <a:bevelB w="101600" prst="riblet"/>
    </a:sp3d>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Анализ количества проведенных проверок 2012-2015 гг.</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Лист4!$A$2</c:f>
              <c:strCache>
                <c:ptCount val="1"/>
                <c:pt idx="0">
                  <c:v>Плановые проверки</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Лист4!$B$1:$E$1</c:f>
              <c:numCache>
                <c:formatCode>General</c:formatCode>
                <c:ptCount val="4"/>
                <c:pt idx="0">
                  <c:v>2012</c:v>
                </c:pt>
                <c:pt idx="1">
                  <c:v>2013</c:v>
                </c:pt>
                <c:pt idx="2">
                  <c:v>2014</c:v>
                </c:pt>
                <c:pt idx="3">
                  <c:v>2015</c:v>
                </c:pt>
              </c:numCache>
            </c:numRef>
          </c:cat>
          <c:val>
            <c:numRef>
              <c:f>Лист4!$B$2:$E$2</c:f>
              <c:numCache>
                <c:formatCode>General</c:formatCode>
                <c:ptCount val="4"/>
                <c:pt idx="0">
                  <c:v>3566</c:v>
                </c:pt>
                <c:pt idx="1">
                  <c:v>2551</c:v>
                </c:pt>
                <c:pt idx="2">
                  <c:v>2531</c:v>
                </c:pt>
                <c:pt idx="3">
                  <c:v>2098</c:v>
                </c:pt>
              </c:numCache>
            </c:numRef>
          </c:val>
        </c:ser>
        <c:ser>
          <c:idx val="1"/>
          <c:order val="1"/>
          <c:tx>
            <c:strRef>
              <c:f>Лист4!$A$3</c:f>
              <c:strCache>
                <c:ptCount val="1"/>
                <c:pt idx="0">
                  <c:v>Внеплановые проверки</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Лист4!$B$1:$E$1</c:f>
              <c:numCache>
                <c:formatCode>General</c:formatCode>
                <c:ptCount val="4"/>
                <c:pt idx="0">
                  <c:v>2012</c:v>
                </c:pt>
                <c:pt idx="1">
                  <c:v>2013</c:v>
                </c:pt>
                <c:pt idx="2">
                  <c:v>2014</c:v>
                </c:pt>
                <c:pt idx="3">
                  <c:v>2015</c:v>
                </c:pt>
              </c:numCache>
            </c:numRef>
          </c:cat>
          <c:val>
            <c:numRef>
              <c:f>Лист4!$B$3:$E$3</c:f>
              <c:numCache>
                <c:formatCode>General</c:formatCode>
                <c:ptCount val="4"/>
                <c:pt idx="0">
                  <c:v>2956</c:v>
                </c:pt>
                <c:pt idx="1">
                  <c:v>2572</c:v>
                </c:pt>
                <c:pt idx="2">
                  <c:v>2477</c:v>
                </c:pt>
                <c:pt idx="3">
                  <c:v>2794</c:v>
                </c:pt>
              </c:numCache>
            </c:numRef>
          </c:val>
        </c:ser>
        <c:dLbls>
          <c:dLblPos val="inEnd"/>
          <c:showLegendKey val="0"/>
          <c:showVal val="1"/>
          <c:showCatName val="0"/>
          <c:showSerName val="0"/>
          <c:showPercent val="0"/>
          <c:showBubbleSize val="0"/>
        </c:dLbls>
        <c:gapWidth val="65"/>
        <c:axId val="408384240"/>
        <c:axId val="408386592"/>
      </c:barChart>
      <c:catAx>
        <c:axId val="40838424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408386592"/>
        <c:crosses val="autoZero"/>
        <c:auto val="1"/>
        <c:lblAlgn val="ctr"/>
        <c:lblOffset val="100"/>
        <c:noMultiLvlLbl val="0"/>
      </c:catAx>
      <c:valAx>
        <c:axId val="4083865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4083842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118</TotalTime>
  <Pages>15</Pages>
  <Words>2868</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2016-02-26T06:56:00Z</dcterms:created>
  <dcterms:modified xsi:type="dcterms:W3CDTF">2016-02-26T09:18:00Z</dcterms:modified>
</cp:coreProperties>
</file>